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30, 2012</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1, 2012, Federal Realty Investment Trust issued supplemental data pertaining to its operations, as well as a press release, to report its financial results for the quarter ended June 30, 2012.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2012 (including press release dated August 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 w:leader="none" w:pos="2380" w:val="left"/>
        </w:tabs>
        <w:rPr>
          <w:sz w:val="20"/>
          <w:szCs w:val="20"/>
          <w:color w:val="auto"/>
        </w:rPr>
      </w:pPr>
      <w:r>
        <w:rPr>
          <w:rFonts w:ascii="Arial" w:cs="Arial" w:eastAsia="Arial" w:hAnsi="Arial"/>
          <w:sz w:val="22"/>
          <w:szCs w:val="22"/>
          <w:color w:val="auto"/>
        </w:rPr>
        <w:t>Date:</w:t>
        <w:tab/>
        <w:t>August 1, 2012</w:t>
      </w:r>
      <w:r>
        <w:rPr>
          <w:sz w:val="20"/>
          <w:szCs w:val="20"/>
          <w:color w:val="auto"/>
        </w:rPr>
        <w:tab/>
      </w:r>
      <w:r>
        <w:rPr>
          <w:rFonts w:ascii="Arial" w:cs="Arial" w:eastAsia="Arial" w:hAnsi="Arial"/>
          <w:sz w:val="19"/>
          <w:szCs w:val="19"/>
          <w:u w:val="single" w:color="auto"/>
          <w:color w:val="auto"/>
        </w:rPr>
        <w:t>/s/ Andrew P. Blocher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Andrew P. Blocher</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2012</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2012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12</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&amp; Debt Summary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16,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1252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54"/>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2760" w:type="dxa"/>
            <w:vAlign w:val="bottom"/>
          </w:tcPr>
          <w:p>
            <w:pPr>
              <w:spacing w:after="0"/>
              <w:rPr>
                <w:sz w:val="24"/>
                <w:szCs w:val="24"/>
                <w:color w:val="auto"/>
              </w:rPr>
            </w:pPr>
          </w:p>
        </w:tc>
        <w:tc>
          <w:tcPr>
            <w:tcW w:w="4100" w:type="dxa"/>
            <w:vAlign w:val="bottom"/>
            <w:gridSpan w:val="3"/>
          </w:tcPr>
          <w:p>
            <w:pPr>
              <w:ind w:left="1680"/>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4100" w:type="dxa"/>
            <w:vAlign w:val="bottom"/>
            <w:gridSpan w:val="3"/>
          </w:tcPr>
          <w:p>
            <w:pPr>
              <w:ind w:left="1680"/>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4100" w:type="dxa"/>
            <w:vAlign w:val="bottom"/>
            <w:gridSpan w:val="3"/>
          </w:tcPr>
          <w:p>
            <w:pPr>
              <w:ind w:left="1680"/>
              <w:spacing w:after="0"/>
              <w:rPr>
                <w:sz w:val="20"/>
                <w:szCs w:val="20"/>
                <w:color w:val="auto"/>
              </w:rPr>
            </w:pPr>
            <w:r>
              <w:rPr>
                <w:rFonts w:ascii="Arial" w:cs="Arial" w:eastAsia="Arial" w:hAnsi="Arial"/>
                <w:sz w:val="18"/>
                <w:szCs w:val="18"/>
                <w:color w:val="auto"/>
                <w:w w:val="98"/>
              </w:rPr>
              <w:t>Investor Relations Coordinator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2760" w:type="dxa"/>
            <w:vAlign w:val="bottom"/>
          </w:tcPr>
          <w:p>
            <w:pPr>
              <w:spacing w:after="0"/>
              <w:rPr>
                <w:sz w:val="22"/>
                <w:szCs w:val="22"/>
                <w:color w:val="auto"/>
              </w:rPr>
            </w:pPr>
          </w:p>
        </w:tc>
        <w:tc>
          <w:tcPr>
            <w:tcW w:w="3040" w:type="dxa"/>
            <w:vAlign w:val="bottom"/>
            <w:gridSpan w:val="2"/>
          </w:tcPr>
          <w:p>
            <w:pPr>
              <w:ind w:left="1680"/>
              <w:spacing w:after="0"/>
              <w:rPr>
                <w:sz w:val="20"/>
                <w:szCs w:val="20"/>
                <w:color w:val="auto"/>
              </w:rPr>
            </w:pPr>
            <w:r>
              <w:rPr>
                <w:rFonts w:ascii="Arial" w:cs="Arial" w:eastAsia="Arial" w:hAnsi="Arial"/>
                <w:sz w:val="18"/>
                <w:szCs w:val="18"/>
                <w:color w:val="auto"/>
              </w:rPr>
              <w:t>301/998-8265</w:t>
            </w:r>
          </w:p>
        </w:tc>
        <w:tc>
          <w:tcPr>
            <w:tcW w:w="106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4100" w:type="dxa"/>
            <w:vAlign w:val="bottom"/>
            <w:gridSpan w:val="3"/>
          </w:tcPr>
          <w:p>
            <w:pPr>
              <w:ind w:left="1680"/>
              <w:spacing w:after="0"/>
              <w:rPr>
                <w:sz w:val="20"/>
                <w:szCs w:val="20"/>
                <w:color w:val="auto"/>
              </w:rPr>
            </w:pPr>
            <w:r>
              <w:rPr>
                <w:rFonts w:ascii="Arial" w:cs="Arial" w:eastAsia="Arial" w:hAnsi="Arial"/>
                <w:sz w:val="18"/>
                <w:szCs w:val="18"/>
                <w:i w:val="1"/>
                <w:iCs w:val="1"/>
                <w:color w:val="auto"/>
              </w:rPr>
              <w:t>klennox@federalrealty.com</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2012 OPERATING RESULTS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Common dividend increased for record 45</w:t>
      </w:r>
      <w:r>
        <w:rPr>
          <w:rFonts w:ascii="Arial" w:cs="Arial" w:eastAsia="Arial" w:hAnsi="Arial"/>
          <w:sz w:val="21"/>
          <w:szCs w:val="21"/>
          <w:i w:val="1"/>
          <w:i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i w:val="1"/>
          <w:iCs w:val="1"/>
          <w:color w:val="auto"/>
        </w:rPr>
        <w:t>consecutive year -</w:t>
      </w:r>
    </w:p>
    <w:p>
      <w:pPr>
        <w:spacing w:after="0" w:line="247" w:lineRule="exact"/>
        <w:rPr>
          <w:sz w:val="20"/>
          <w:szCs w:val="20"/>
          <w:color w:val="auto"/>
        </w:rPr>
      </w:pPr>
    </w:p>
    <w:p>
      <w:pPr>
        <w:ind w:right="520"/>
        <w:spacing w:after="0" w:line="371" w:lineRule="auto"/>
        <w:rPr>
          <w:sz w:val="20"/>
          <w:szCs w:val="20"/>
          <w:color w:val="auto"/>
        </w:rPr>
      </w:pPr>
      <w:r>
        <w:rPr>
          <w:rFonts w:ascii="Arial" w:cs="Arial" w:eastAsia="Arial" w:hAnsi="Arial"/>
          <w:sz w:val="18"/>
          <w:szCs w:val="18"/>
          <w:color w:val="auto"/>
        </w:rPr>
        <w:t>ROCKVILLE, Md. (August 1, 2012) - Federal Realty Investment Trust (NYSE:FRT) today reported operating results for its second quarter ended June 30,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the second quarter 2012, Federal Realty generated funds from operations available for common shareholders (FFO) of $66.8 million or $1.04 per diluted share. This compares to FFO of $64.3 million, or $1.02 per diluted share, in second quarter 2011. For the six months ended June 30, 2012, Federal Realty reported FFO of $133.4 million, or $2.08 per diluted share, compared to $125.5 million, or $2.01 per diluted share for the same six-month period in 2011.</w:t>
      </w:r>
    </w:p>
    <w:p>
      <w:pPr>
        <w:spacing w:after="0" w:line="297"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$32.5 million and earnings per diluted share was $0.51 for the quarter ended June 30, 2012 versus $34.6 million and $0.55, respectively, for second quarter 2011. Year-to-date, Federal Realty reported net income available for common shareholders of $75.3 million and earnings per diluted share of $1.18. This compares to net income available for common shareholders of $65.7 million and earnings per diluted share of $1.05 for the six months ended June 30, 2011.</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second quarter 2012, same-center property operating income increased 3.5% over second quarter 2011. When redevelopment and expansion properties are excluded from same-center results, property operating income for second quarter 2012 increased 2.7% compared to second quarter 2011.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94.2% leased as of June 30, 2012, compared to 93.8% on March 31, 2012 and 93.4% on June 30, 2011. Federal Realty's same-center portfolio was 94.8% leased on June 30, 2012, compared to 94.3% on March 31, 2012 and 93.9% on June 30, 2011.</w:t>
      </w:r>
    </w:p>
    <w:p>
      <w:pPr>
        <w:spacing w:after="0" w:line="197"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the second quarter of 2012, Federal Realty signed 111 leases for 368,795 square feet of retail space. On a comparable space basis (i.e., spaces for which there was a former tenant), the Trust leased 355,527 square feet at an average cash-basis contractual rent increase per square foot (i.e., excluding the impact of straight-line rents) of 11%. The average contractual rent on this comparable space for the first year of the new leases is $36.08 per square foot, compared to the average contractual rent of $32.64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21% for second quarter 2012. As of June 30, 2012, Federal Realty's average contractual, cash basis minimum rent for retail and commercial space in its portfolio was $23.74 per square foot.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 also announced today that its Board of Trustees increased the dividend rate on its common shares, declaring a regular quarterly cash dividend of $0.73 per share, resulting in an indicated annual rate of $2.92 per share, an increase of 5.8%. The regular common dividend will be payable on October 15, 2012, to common shareholders of record as of September 21, 2012. This increase represents the 45th consecutive year that Federal Realty has increased its common dividend, the longest record of consecutive annual dividend increases in the REIT sector, and amongst the longest such records for publicly traded companies in the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Federal Realty increased its guidance for 2012 FFO per diluted share to a range of $4.27 to $4.31, and provided 2012 earnings per diluted share guidance of $2.31 to $2.35.</w:t>
      </w:r>
    </w:p>
    <w:p>
      <w:pPr>
        <w:spacing w:after="0" w:line="292"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“Our portfolio continues to produce impressive operating results, including strong lease rollover, improving occupancy and solid same-center growth,” said Don Wood, president and chief executive officer of Federal Realty Investment Trust. “These key drivers allowed us to increase our dividend for the 45th consecutive year and increase our 2012 FFO per diluted share guidance for the third consecutive quarter.”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240" w:hanging="232"/>
        <w:spacing w:after="0" w:line="365"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July, 2012 - Federal Realty received an approximately $6M lease termination fee from Safeway in connection with Safeway's sale of a number of its Genuardi's locations to Giant of Carlisle. Federal was able to negotiate the fee as part of the global resolution of all three Genuardi's locations in Federal's portfolio which resulted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assignment of two of those locations to Giant and the termination of the lease at the third location.</w:t>
      </w:r>
    </w:p>
    <w:p>
      <w:pPr>
        <w:spacing w:after="0" w:line="104" w:lineRule="exact"/>
        <w:rPr>
          <w:sz w:val="20"/>
          <w:szCs w:val="20"/>
          <w:color w:val="auto"/>
        </w:rPr>
      </w:pPr>
    </w:p>
    <w:p>
      <w:pPr>
        <w:jc w:val="both"/>
        <w:ind w:left="240" w:hanging="232"/>
        <w:spacing w:after="0" w:line="354"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2012 - Federal Realty announced the pricing of a public offering of $250 million aggregate principal amount of 3.00% senior unsecured notes due August 1, 2022. The notes were offered at 98.743% of the principal amount with a yield to maturity of 3.147%. Interest on the notes will be payable on February 1 and August 1 of each year, beginning February 1, 2013.</w:t>
      </w:r>
    </w:p>
    <w:p>
      <w:pPr>
        <w:spacing w:after="0" w:line="15" w:lineRule="exact"/>
        <w:rPr>
          <w:rFonts w:ascii="Arial" w:cs="Arial" w:eastAsia="Arial" w:hAnsi="Arial"/>
          <w:sz w:val="18"/>
          <w:szCs w:val="18"/>
          <w:color w:val="auto"/>
        </w:rPr>
      </w:pPr>
    </w:p>
    <w:p>
      <w:pPr>
        <w:jc w:val="both"/>
        <w:ind w:left="240" w:hanging="232"/>
        <w:spacing w:after="0" w:line="356"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2012 - Federal Realty broke ground on Pike &amp; Rose, a 3.4 million square-foot transit oriented, mixed-use development. Maryland Governor Martin O'Malley, Lieutenant Governor Anthony Brown, County Executive Isiah Leggett, County Council President Roger Berliner, The Montgomery County Council and Don Wood, Don Briggs, and Evan Goldman of Federal Realty officially celebrated the start of construction at Pike &amp; Rose and the creation of an estimated 688 jobs from phase one of the project.</w:t>
      </w:r>
    </w:p>
    <w:p>
      <w:pPr>
        <w:spacing w:after="0" w:line="14" w:lineRule="exact"/>
        <w:rPr>
          <w:rFonts w:ascii="Arial" w:cs="Arial" w:eastAsia="Arial" w:hAnsi="Arial"/>
          <w:sz w:val="18"/>
          <w:szCs w:val="18"/>
          <w:color w:val="auto"/>
        </w:rPr>
      </w:pPr>
    </w:p>
    <w:p>
      <w:pPr>
        <w:jc w:val="both"/>
        <w:ind w:left="240" w:hanging="232"/>
        <w:spacing w:after="0" w:line="354"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2012 - Federal Realty announced that Mr. James M. Taylor will succeed Mr. Andrew Blocher as chief financial officer on August 15, 2012. The move further enhances the Trust's ability to source and evaluate corporate business development and strategic opportunities through Mr. Taylor's extensive experience and real estate relationships over the past two decades.</w:t>
      </w:r>
    </w:p>
    <w:p>
      <w:pPr>
        <w:spacing w:after="0" w:line="15"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June, 2012 - Federal Realty rang The Closing Bell at the New York Stock Exchange (NYSE) to commemorate the Trust's 50th Anniversary.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second quarter 2012 earnings conference call, which is scheduled for August 2, 2012, at 11 a.m. Eastern Daylight Time. To participate, please call (866) 362-4831 five to ten minutes prior to the call start time and use the passcode FRT EARNINGS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September 2, 2012, by dialing (888) 286-8010 and using the passcode 72503331.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In 2012, Federal Realty celebrates 50 years of being a proven leader in the ownership, operation, and redevelopment of high quality retail real estate in the country's best markets. Federal Realty's portfolio (excluding joint venture properties) contains approximately 19.2 million square feet located primarily in strategically selected metropolitan markets in the Northeast and Mid-Atlantic regions of the United States, and California. In addition, the Trust has an ownership interest in approximately 1.0 million square feet of retail space through a joint venture in which the Trust has a 30% interest. Our operating portfolio (excluding joint venture properties) was 94.2% leased to national, regional, and local retailers as of June 30, 2012, with no single tenant accounting for more than 2.5% of annualized base rent. Federal Realty has paid quarterly dividends to its shareholders continuously since its founding in 1962, and has increased its dividend rate for 45 consecutive years, the longest record in the REIT industry. Federal Realty is an S&amp;P MidCap 400 company and its shares are traded on the NYSE under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2012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symbol FRT. For more information, please visit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02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50"/>
        </w:trPr>
        <w:tc>
          <w:tcPr>
            <w:tcW w:w="6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2011</w:t>
            </w:r>
          </w:p>
        </w:tc>
      </w:tr>
      <w:tr>
        <w:trPr>
          <w:trHeight w:val="244"/>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141,796</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133,000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282,457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267,438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2,255</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293,849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273,929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32,594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30,954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31,871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71,770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62,287</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171,523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160,222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122,326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113,707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(48,949)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65,856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Discontinued operations - gain on deconsolidation of VIE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6520" w:type="dxa"/>
            <w:vAlign w:val="bottom"/>
          </w:tcPr>
          <w:p>
            <w:pPr>
              <w:ind w:left="500"/>
              <w:spacing w:after="0"/>
              <w:rPr>
                <w:sz w:val="20"/>
                <w:szCs w:val="20"/>
                <w:color w:val="auto"/>
              </w:rPr>
            </w:pPr>
            <w:r>
              <w:rPr>
                <w:rFonts w:ascii="Arial" w:cs="Arial" w:eastAsia="Arial" w:hAnsi="Arial"/>
                <w:sz w:val="18"/>
                <w:szCs w:val="18"/>
                <w:color w:val="auto"/>
              </w:rPr>
              <w:t>Results from discontinued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68,855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68,855</w:t>
            </w:r>
          </w:p>
        </w:tc>
      </w:tr>
      <w:tr>
        <w:trPr>
          <w:trHeight w:val="243"/>
        </w:trPr>
        <w:tc>
          <w:tcPr>
            <w:tcW w:w="65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65,943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32,468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75,318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65,672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63,700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63,556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61,844</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63,880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62,391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63,732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62,012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62"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462"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$263,631 and $263,570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4,264,527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211,725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4,476,252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accumulated depreciation and amortization (including $8,497 and $4,991 of consolidated variable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3,306,974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76,601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124,638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3,680,929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$206,506 and $207,683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805,700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810,616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1,004,532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222,292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2,332,613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1,232,084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1,206,095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1,242,081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1,266,458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3,680,929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9"/>
        </w:trPr>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Funds from Operations available for common shareholders (FFO) (1)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33,596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36,471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77,718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68,855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(2,912)</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Gain on deconsolidation of VIE</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(2,026)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63,772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56,052</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5,053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858</w:t>
            </w:r>
          </w:p>
        </w:tc>
      </w:tr>
      <w:tr>
        <w:trPr>
          <w:trHeight w:val="237"/>
        </w:trPr>
        <w:tc>
          <w:tcPr>
            <w:tcW w:w="40" w:type="dxa"/>
            <w:vAlign w:val="bottom"/>
          </w:tcPr>
          <w:p>
            <w:pPr>
              <w:spacing w:after="0"/>
              <w:rPr>
                <w:sz w:val="20"/>
                <w:szCs w:val="20"/>
                <w:color w:val="auto"/>
              </w:rPr>
            </w:pPr>
          </w:p>
        </w:tc>
        <w:tc>
          <w:tcPr>
            <w:tcW w:w="536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67,005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64,395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133,863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125,837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484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r>
      <w:tr>
        <w:trPr>
          <w:trHeight w:val="297"/>
        </w:trPr>
        <w:tc>
          <w:tcPr>
            <w:tcW w:w="4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66,778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64,273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133,432</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125,542</w:t>
            </w:r>
          </w:p>
        </w:tc>
      </w:tr>
      <w:tr>
        <w:trPr>
          <w:trHeight w:val="251"/>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2.01</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64,204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62,752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64,074</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62,373</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03"/>
        </w:trPr>
        <w:tc>
          <w:tcPr>
            <w:tcW w:w="54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Non-maintenance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60" w:type="dxa"/>
            <w:vAlign w:val="bottom"/>
            <w:gridSpan w:val="4"/>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29,422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16,491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47,461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34,656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Tenant improvements and incentives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14,118</w:t>
            </w:r>
          </w:p>
        </w:tc>
      </w:tr>
      <w:tr>
        <w:trPr>
          <w:trHeight w:val="237"/>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37,645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24,748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62,272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48,774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6,568</w:t>
            </w:r>
          </w:p>
        </w:tc>
      </w:tr>
      <w:tr>
        <w:trPr>
          <w:trHeight w:val="297"/>
        </w:trPr>
        <w:tc>
          <w:tcPr>
            <w:tcW w:w="54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Total capital expenditures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40,416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28,715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68,999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55,342</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03"/>
        </w:trPr>
        <w:tc>
          <w:tcPr>
            <w:tcW w:w="54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Regular common dividends declared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88,318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83,679</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250"/>
        </w:trPr>
        <w:tc>
          <w:tcPr>
            <w:tcW w:w="8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64,100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62,798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104.09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85.18</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6,672,169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5,349,134</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6,682,169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5,359,134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2,110,321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1,760,292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8,792,490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7,119,426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constant common share price of $85.18</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do not include 324,140 and 360,314 Operating Partnership Units outstanding at June 30, 2012 and 2011,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hanging="652"/>
        <w:spacing w:after="0" w:line="286"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$17.2 million at June 30, 2012 and 2011, which is the Trust's 30% share of the total mortgages payable of $57.3 million and $57.5 million at June 30, 2012 and 2011, respectively, of the partnership with a discretionary fund created and advised by ING Clarion Partners.</w:t>
      </w:r>
    </w:p>
    <w:p>
      <w:pPr>
        <w:spacing w:after="0" w:line="4" w:lineRule="exact"/>
        <w:rPr>
          <w:rFonts w:ascii="Arial" w:cs="Arial" w:eastAsia="Arial" w:hAnsi="Arial"/>
          <w:sz w:val="15"/>
          <w:szCs w:val="15"/>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104,455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98,232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207,590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194,968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26,475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53,432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54,369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3,964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141,796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282,457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267,438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$1.5 million and $1.3 million for the three months ended June 30, 2012 and 2011, and $2.1 million and $2.3 million for the six months ended June 30, 2012 and 2011, respectively, to recognize minimum rents on a straight-line basis. In addition, minimum rents include $0.3 million and $0.4 million for the three months ended June 30, 2012 and 2011, and $0.5 million and $0.7 million for the six months ended June 30, 2012 and 2011, respectively, to recognize income from the amortization of in-place leases.</w:t>
      </w:r>
    </w:p>
    <w:p>
      <w:pPr>
        <w:spacing w:after="0" w:line="25"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As of June 30, 2012</w:t>
            </w:r>
          </w:p>
        </w:tc>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Stated maturity date</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w:t>
            </w:r>
          </w:p>
        </w:tc>
        <w:tc>
          <w:tcPr>
            <w:tcW w:w="220" w:type="dxa"/>
            <w:vAlign w:val="bottom"/>
          </w:tcPr>
          <w:p>
            <w:pPr>
              <w:spacing w:after="0"/>
              <w:rPr>
                <w:sz w:val="13"/>
                <w:szCs w:val="13"/>
                <w:color w:val="auto"/>
              </w:rPr>
            </w:pPr>
          </w:p>
        </w:tc>
        <w:tc>
          <w:tcPr>
            <w:tcW w:w="12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20" w:type="dxa"/>
            <w:vAlign w:val="bottom"/>
          </w:tcPr>
          <w:p>
            <w:pPr>
              <w:spacing w:after="0"/>
              <w:rPr>
                <w:sz w:val="13"/>
                <w:szCs w:val="13"/>
                <w:color w:val="auto"/>
              </w:rPr>
            </w:pPr>
          </w:p>
        </w:tc>
        <w:tc>
          <w:tcPr>
            <w:tcW w:w="13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effective rate (10)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1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19,993</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3,939</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White Marsh Plaza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9,129</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Crow Canyon</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19,721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Idylwood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16,134</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Leesburg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28,074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Loehmann's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36,303</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Pentagon Row</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52,114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Melville Mall (3)</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THE AVENUE at White Marsh</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55,978</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Barracks Road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38,542</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Hauppauge</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14,529</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Lawrence Park</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27,319</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Wildwood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24,013</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Wynnewood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27,841</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Brick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28,401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8/5/2017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5/1/2019</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23,066</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Shoppers' World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1/31/2021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5,366</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1/10/2022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79,440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Mount Vernon (4)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4/15/2028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1/15/2031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724,734</w:t>
            </w:r>
          </w:p>
        </w:tc>
        <w:tc>
          <w:tcPr>
            <w:tcW w:w="1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9,263</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733,997</w:t>
            </w:r>
          </w:p>
        </w:tc>
        <w:tc>
          <w:tcPr>
            <w:tcW w:w="20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6.23%</w:t>
            </w: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 (5)</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2027</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15,689</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Term loan (6)</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11/21/2018</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LIBOR + 1.45%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Revolving credit facility (7)</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7/6/2015</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LIBOR + 1.15%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Escondido (municipal bonds) (8)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10/1/2016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300,089</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3.40%</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6.00% notes (9)</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7/15/2012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5.40%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5.95%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5.65%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6/1/2016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6.20%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1/15/2017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5.90%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4/1/2020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7.48% debentures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8/15/2026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6.82% medium term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1,004,200</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1,004,532</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6.05%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Various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71,703</w:t>
            </w:r>
          </w:p>
        </w:tc>
        <w:tc>
          <w:tcPr>
            <w:tcW w:w="20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8.05%</w:t>
            </w: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68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2,110,321</w:t>
            </w:r>
          </w:p>
        </w:tc>
        <w:tc>
          <w:tcPr>
            <w:tcW w:w="12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47"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12</w:t>
      </w:r>
    </w:p>
    <w:p>
      <w:pPr>
        <w:sectPr>
          <w:pgSz w:w="11900" w:h="16838" w:orient="portrait"/>
          <w:cols w:equalWidth="0" w:num="1">
            <w:col w:w="9019"/>
          </w:cols>
          <w:pgMar w:left="1440" w:top="107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7320" w:type="dxa"/>
            <w:vAlign w:val="bottom"/>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2,100,921</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5.82%</w:t>
            </w:r>
          </w:p>
        </w:tc>
        <w:tc>
          <w:tcPr>
            <w:tcW w:w="440" w:type="dxa"/>
            <w:vAlign w:val="bottom"/>
          </w:tcPr>
          <w:p>
            <w:pPr>
              <w:spacing w:after="0"/>
              <w:rPr>
                <w:sz w:val="17"/>
                <w:szCs w:val="17"/>
                <w:color w:val="auto"/>
              </w:rPr>
            </w:pPr>
          </w:p>
        </w:tc>
      </w:tr>
      <w:tr>
        <w:trPr>
          <w:trHeight w:val="33"/>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1.79%</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44"/>
        </w:trPr>
        <w:tc>
          <w:tcPr>
            <w:tcW w:w="7320" w:type="dxa"/>
            <w:vAlign w:val="bottom"/>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2,110,321</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5.80%</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4" w:right="239" w:bottom="1440" w:gutter="0" w:footer="0" w:header="0"/>
        </w:sectPr>
      </w:pPr>
    </w:p>
    <w:p>
      <w:pPr>
        <w:spacing w:after="0" w:line="7" w:lineRule="exact"/>
        <w:rPr>
          <w:sz w:val="20"/>
          <w:szCs w:val="20"/>
          <w:color w:val="auto"/>
        </w:rPr>
      </w:pPr>
    </w:p>
    <w:p>
      <w:pPr>
        <w:jc w:val="center"/>
        <w:ind w:left="742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23495</wp:posOffset>
            </wp:positionV>
            <wp:extent cx="1286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9" w:lineRule="exact"/>
        <w:rPr>
          <w:sz w:val="20"/>
          <w:szCs w:val="20"/>
          <w:color w:val="auto"/>
        </w:rPr>
      </w:pPr>
    </w:p>
    <w:p>
      <w:pPr>
        <w:ind w:left="7640"/>
        <w:spacing w:after="0"/>
        <w:tabs>
          <w:tab w:leader="none" w:pos="864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Arial" w:cs="Arial" w:eastAsia="Arial" w:hAnsi="Arial"/>
          <w:sz w:val="13"/>
          <w:szCs w:val="13"/>
          <w:b w:val="1"/>
          <w:bCs w:val="1"/>
          <w:color w:val="auto"/>
        </w:rPr>
        <w:t>Six Months Ended</w:t>
      </w:r>
    </w:p>
    <w:p>
      <w:pPr>
        <w:spacing w:after="0" w:line="121"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23495</wp:posOffset>
            </wp:positionV>
            <wp:extent cx="1217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89"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48" w:lineRule="exact"/>
        <w:rPr>
          <w:sz w:val="20"/>
          <w:szCs w:val="20"/>
          <w:color w:val="auto"/>
        </w:rPr>
      </w:pPr>
    </w:p>
    <w:p>
      <w:pPr>
        <w:sectPr>
          <w:pgSz w:w="11900" w:h="16838" w:orient="portrait"/>
          <w:cols w:equalWidth="0" w:num="2">
            <w:col w:w="9160" w:space="720"/>
            <w:col w:w="1540"/>
          </w:cols>
          <w:pgMar w:left="240" w:top="764"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57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7"/>
        </w:trPr>
        <w:tc>
          <w:tcPr>
            <w:tcW w:w="140" w:type="dxa"/>
            <w:vAlign w:val="bottom"/>
          </w:tcPr>
          <w:p>
            <w:pPr>
              <w:spacing w:after="0"/>
              <w:rPr>
                <w:sz w:val="20"/>
                <w:szCs w:val="20"/>
                <w:color w:val="auto"/>
              </w:rPr>
            </w:pPr>
          </w:p>
        </w:tc>
        <w:tc>
          <w:tcPr>
            <w:tcW w:w="712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(12)</w:t>
            </w:r>
          </w:p>
        </w:tc>
        <w:tc>
          <w:tcPr>
            <w:tcW w:w="640" w:type="dxa"/>
            <w:vAlign w:val="bottom"/>
          </w:tcPr>
          <w:p>
            <w:pPr>
              <w:jc w:val="right"/>
              <w:spacing w:after="0"/>
              <w:rPr>
                <w:sz w:val="20"/>
                <w:szCs w:val="20"/>
                <w:color w:val="auto"/>
              </w:rPr>
            </w:pPr>
            <w:r>
              <w:rPr>
                <w:rFonts w:ascii="Arial" w:cs="Arial" w:eastAsia="Arial" w:hAnsi="Arial"/>
                <w:sz w:val="16"/>
                <w:szCs w:val="16"/>
                <w:color w:val="auto"/>
              </w:rPr>
              <w:t>3.08</w:t>
            </w:r>
          </w:p>
        </w:tc>
        <w:tc>
          <w:tcPr>
            <w:tcW w:w="400" w:type="dxa"/>
            <w:vAlign w:val="bottom"/>
          </w:tcPr>
          <w:p>
            <w:pPr>
              <w:ind w:left="6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3.54</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x</w:t>
            </w:r>
          </w:p>
        </w:tc>
        <w:tc>
          <w:tcPr>
            <w:tcW w:w="640" w:type="dxa"/>
            <w:vAlign w:val="bottom"/>
          </w:tcPr>
          <w:p>
            <w:pPr>
              <w:jc w:val="right"/>
              <w:spacing w:after="0"/>
              <w:rPr>
                <w:sz w:val="20"/>
                <w:szCs w:val="20"/>
                <w:color w:val="auto"/>
              </w:rPr>
            </w:pPr>
            <w:r>
              <w:rPr>
                <w:rFonts w:ascii="Arial" w:cs="Arial" w:eastAsia="Arial" w:hAnsi="Arial"/>
                <w:sz w:val="16"/>
                <w:szCs w:val="16"/>
                <w:color w:val="auto"/>
              </w:rPr>
              <w:t>3.27</w:t>
            </w:r>
          </w:p>
        </w:tc>
        <w:tc>
          <w:tcPr>
            <w:tcW w:w="400" w:type="dxa"/>
            <w:vAlign w:val="bottom"/>
          </w:tcPr>
          <w:p>
            <w:pPr>
              <w:ind w:left="60"/>
              <w:spacing w:after="0"/>
              <w:rPr>
                <w:sz w:val="20"/>
                <w:szCs w:val="20"/>
                <w:color w:val="auto"/>
              </w:rPr>
            </w:pPr>
            <w:r>
              <w:rPr>
                <w:rFonts w:ascii="Arial" w:cs="Arial" w:eastAsia="Arial" w:hAnsi="Arial"/>
                <w:sz w:val="16"/>
                <w:szCs w:val="16"/>
                <w:color w:val="auto"/>
              </w:rPr>
              <w:t>x</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24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14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(12)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33"/>
        </w:trPr>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($17.2 million) of the $57.3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11" w:lineRule="exact"/>
        <w:rPr>
          <w:rFonts w:ascii="Arial" w:cs="Arial" w:eastAsia="Arial" w:hAnsi="Arial"/>
          <w:sz w:val="14"/>
          <w:szCs w:val="14"/>
          <w:color w:val="auto"/>
        </w:rPr>
      </w:pPr>
    </w:p>
    <w:p>
      <w:pPr>
        <w:ind w:left="660" w:right="2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lender has the option to call the loan on April 15, 2013 or any time thereafter, however, we can prepay the loan at any time after October 14, 2012 at par.</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interest rate of 5.58% represents the weighted average interest rate for ten unsecured fixed rate notes payable. These notes mature from November 1, 2012 to June 27, 2027.</w:t>
      </w:r>
    </w:p>
    <w:p>
      <w:pPr>
        <w:spacing w:after="0" w:line="66" w:lineRule="exact"/>
        <w:rPr>
          <w:rFonts w:ascii="Arial" w:cs="Arial" w:eastAsia="Arial" w:hAnsi="Arial"/>
          <w:sz w:val="13"/>
          <w:szCs w:val="13"/>
          <w:color w:val="auto"/>
        </w:rPr>
      </w:pPr>
    </w:p>
    <w:p>
      <w:pPr>
        <w:ind w:left="660" w:right="8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3.17% and thus, the loan is included in fixed rate debt.</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 amount was drawn under our revolving credit facility during the six months ended June 30, 2012.</w:t>
      </w:r>
    </w:p>
    <w:p>
      <w:pPr>
        <w:spacing w:after="0" w:line="55"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These notes were repaid on their maturity date. On July 19, 2012, we issued $250.0 million of fixed rate senior notes that mature on August 1, 2022 and bear interest at 3.00%.</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11.</w:t>
      </w:r>
    </w:p>
    <w:p>
      <w:pPr>
        <w:spacing w:after="0" w:line="55"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June 30, 2012. In addition, the weighted average effective interest rate is calculated using the fixed rate on our term loan of 3.17% as the result of the interest rate swap agreements discussed in Note 6.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52"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Fixed charges for the six months ended June 30, 2011 include $0.3 million of income from early extinguishment of debt due to the write-off of the unamortized debt premium net of a 3% prepayment premium and unamortized debt fees related to the payoff of our mortgage loan on Tower Shops prior to its contractual prepayment date. Adjusted EBITDA is reconciled to net income in the Glossary of Terms.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4" w:right="23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2012</w:t>
            </w: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5,941</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190,941</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11,865</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196,893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208,758</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10,201</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297,864</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308,065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6,796</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205,187</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43.5%</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134,400</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137,197</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377,959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68.0%</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278,119</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2,943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23,103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82.3%</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152,922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2,816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6,441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89.9%</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24,205</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187,829</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212,034</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76,564</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2,024,162</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2,100,726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16, 2012, we repaid our $175.0 million 6.00% senior notes on their maturity date. In addition on July 19, 2012, we issued $250.0 million of fixed rate senior notes that mature on August 1, 2022 and bear interest at 3.00%.</w:t>
      </w:r>
    </w:p>
    <w:p>
      <w:pPr>
        <w:spacing w:after="0" w:line="10" w:lineRule="exact"/>
        <w:rPr>
          <w:rFonts w:ascii="Arial" w:cs="Arial" w:eastAsia="Arial" w:hAnsi="Arial"/>
          <w:sz w:val="16"/>
          <w:szCs w:val="16"/>
          <w:color w:val="auto"/>
        </w:rPr>
      </w:pPr>
    </w:p>
    <w:p>
      <w:pPr>
        <w:ind w:left="660" w:right="4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repayment of the outstanding mortgage payable balance on Mount Vernon. The lender has the option to call the loan on April 15, 2013 or any time thereafter, however, we can prepay the loan at any time after October 14, 2012 at par.</w:t>
      </w:r>
    </w:p>
    <w:p>
      <w:pPr>
        <w:spacing w:after="0" w:line="10" w:lineRule="exact"/>
        <w:rPr>
          <w:rFonts w:ascii="Arial" w:cs="Arial" w:eastAsia="Arial" w:hAnsi="Arial"/>
          <w:sz w:val="16"/>
          <w:szCs w:val="16"/>
          <w:color w:val="auto"/>
        </w:rPr>
      </w:pPr>
    </w:p>
    <w:p>
      <w:pPr>
        <w:ind w:left="660" w:right="4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$400.0 million unsecured revolving credit facility matures on July 6, 2015, subject to a one-year extension at our option. As of June 30, 2012, there was $0 drawn under this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June 30, 2012.</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2012</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2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Location</w:t>
            </w:r>
          </w:p>
        </w:tc>
        <w:tc>
          <w:tcPr>
            <w:tcW w:w="34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Opportunity</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ROI (2)</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 (1)</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624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Active projects which are expected to stabilize in 2012 and beyond</w:t>
            </w: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Mall</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Jose, CA</w:t>
            </w: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Façade and interior mall renovation, addition of food</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2014/2015</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court and pad site</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Chelsea, MA</w:t>
            </w:r>
          </w:p>
        </w:tc>
        <w:tc>
          <w:tcPr>
            <w:tcW w:w="3420" w:type="dxa"/>
            <w:vAlign w:val="bottom"/>
          </w:tcPr>
          <w:p>
            <w:pPr>
              <w:ind w:left="40"/>
              <w:spacing w:after="0" w:line="157" w:lineRule="exact"/>
              <w:rPr>
                <w:sz w:val="20"/>
                <w:szCs w:val="20"/>
                <w:color w:val="auto"/>
              </w:rPr>
            </w:pPr>
            <w:r>
              <w:rPr>
                <w:rFonts w:ascii="Arial" w:cs="Arial" w:eastAsia="Arial" w:hAnsi="Arial"/>
                <w:sz w:val="14"/>
                <w:szCs w:val="14"/>
                <w:color w:val="auto"/>
                <w:w w:val="98"/>
              </w:rPr>
              <w:t>Ground up development of a 56 unit apartment building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8%</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40"/>
              <w:spacing w:after="0"/>
              <w:rPr>
                <w:sz w:val="20"/>
                <w:szCs w:val="20"/>
                <w:color w:val="auto"/>
              </w:rPr>
            </w:pPr>
            <w:r>
              <w:rPr>
                <w:rFonts w:ascii="Arial" w:cs="Arial" w:eastAsia="Arial" w:hAnsi="Arial"/>
                <w:sz w:val="14"/>
                <w:szCs w:val="14"/>
                <w:color w:val="auto"/>
              </w:rPr>
              <w:t>with above grade parking</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Richmond, VA</w:t>
            </w: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Demo interior mall, relocate mall tenants, construct new</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exterior GLA, new pad buildings, and gas station</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40"/>
              <w:spacing w:after="0"/>
              <w:rPr>
                <w:sz w:val="20"/>
                <w:szCs w:val="20"/>
                <w:color w:val="auto"/>
              </w:rPr>
            </w:pPr>
            <w:r>
              <w:rPr>
                <w:rFonts w:ascii="Arial" w:cs="Arial" w:eastAsia="Arial" w:hAnsi="Arial"/>
                <w:sz w:val="14"/>
                <w:szCs w:val="14"/>
                <w:color w:val="auto"/>
              </w:rPr>
              <w:t>Bala Cynwyd</w:t>
            </w:r>
          </w:p>
        </w:tc>
        <w:tc>
          <w:tcPr>
            <w:tcW w:w="1260" w:type="dxa"/>
            <w:vAlign w:val="bottom"/>
          </w:tcPr>
          <w:p>
            <w:pPr>
              <w:ind w:left="100"/>
              <w:spacing w:after="0"/>
              <w:rPr>
                <w:sz w:val="20"/>
                <w:szCs w:val="20"/>
                <w:color w:val="auto"/>
              </w:rPr>
            </w:pPr>
            <w:r>
              <w:rPr>
                <w:rFonts w:ascii="Arial" w:cs="Arial" w:eastAsia="Arial" w:hAnsi="Arial"/>
                <w:sz w:val="14"/>
                <w:szCs w:val="14"/>
                <w:color w:val="auto"/>
              </w:rPr>
              <w:t>Bala Cynwyd, PA</w:t>
            </w:r>
          </w:p>
        </w:tc>
        <w:tc>
          <w:tcPr>
            <w:tcW w:w="3420" w:type="dxa"/>
            <w:vAlign w:val="bottom"/>
          </w:tcPr>
          <w:p>
            <w:pPr>
              <w:ind w:left="40"/>
              <w:spacing w:after="0"/>
              <w:rPr>
                <w:sz w:val="20"/>
                <w:szCs w:val="20"/>
                <w:color w:val="auto"/>
              </w:rPr>
            </w:pPr>
            <w:r>
              <w:rPr>
                <w:rFonts w:ascii="Arial" w:cs="Arial" w:eastAsia="Arial" w:hAnsi="Arial"/>
                <w:sz w:val="14"/>
                <w:szCs w:val="14"/>
                <w:color w:val="auto"/>
              </w:rPr>
              <w:t>Construction of two retail pad buildings</w:t>
            </w:r>
          </w:p>
        </w:tc>
        <w:tc>
          <w:tcPr>
            <w:tcW w:w="186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Shoppers' World</w:t>
            </w:r>
          </w:p>
        </w:tc>
        <w:tc>
          <w:tcPr>
            <w:tcW w:w="12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9"/>
              </w:rPr>
              <w:t>Charlottesville, VA</w:t>
            </w:r>
          </w:p>
        </w:tc>
        <w:tc>
          <w:tcPr>
            <w:tcW w:w="34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accommodate new tenants</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rPr>
              <w:t>Fresh Meadows</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Queens, NY</w:t>
            </w:r>
          </w:p>
        </w:tc>
        <w:tc>
          <w:tcPr>
            <w:tcW w:w="3420" w:type="dxa"/>
            <w:vAlign w:val="bottom"/>
          </w:tcPr>
          <w:p>
            <w:pPr>
              <w:ind w:left="40"/>
              <w:spacing w:after="0" w:line="157" w:lineRule="exact"/>
              <w:rPr>
                <w:sz w:val="20"/>
                <w:szCs w:val="20"/>
                <w:color w:val="auto"/>
              </w:rPr>
            </w:pPr>
            <w:r>
              <w:rPr>
                <w:rFonts w:ascii="Arial" w:cs="Arial" w:eastAsia="Arial" w:hAnsi="Arial"/>
                <w:sz w:val="14"/>
                <w:szCs w:val="14"/>
                <w:color w:val="auto"/>
              </w:rPr>
              <w:t>Conversion of 2nd floor office space for new sporting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40"/>
              <w:spacing w:after="0"/>
              <w:rPr>
                <w:sz w:val="20"/>
                <w:szCs w:val="20"/>
                <w:color w:val="auto"/>
              </w:rPr>
            </w:pPr>
            <w:r>
              <w:rPr>
                <w:rFonts w:ascii="Arial" w:cs="Arial" w:eastAsia="Arial" w:hAnsi="Arial"/>
                <w:sz w:val="14"/>
                <w:szCs w:val="14"/>
                <w:color w:val="auto"/>
              </w:rPr>
              <w:t>goods retailer.</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5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2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&amp; Rose (Mid-Pike)</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Rockville, MD</w:t>
            </w: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Ground up mixed use development on site of existing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 - 9%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$245 -</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2015/2016</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w:t>
            </w: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$255</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involves demolition of roughly 25% of existing GLA, and</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construction of 493 residential units, 151,000 square feet</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retail, and 79,000 square feet of office space.</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w w:val="98"/>
              </w:rPr>
              <w:t>Assembly Row - Phase I</w:t>
            </w:r>
          </w:p>
        </w:tc>
        <w:tc>
          <w:tcPr>
            <w:tcW w:w="1260" w:type="dxa"/>
            <w:vAlign w:val="bottom"/>
          </w:tcPr>
          <w:p>
            <w:pPr>
              <w:ind w:left="100"/>
              <w:spacing w:after="0" w:line="157" w:lineRule="exact"/>
              <w:rPr>
                <w:sz w:val="20"/>
                <w:szCs w:val="20"/>
                <w:color w:val="auto"/>
              </w:rPr>
            </w:pPr>
            <w:r>
              <w:rPr>
                <w:rFonts w:ascii="Arial" w:cs="Arial" w:eastAsia="Arial" w:hAnsi="Arial"/>
                <w:sz w:val="14"/>
                <w:szCs w:val="14"/>
                <w:color w:val="auto"/>
              </w:rPr>
              <w:t>Somerville, MA</w:t>
            </w:r>
          </w:p>
        </w:tc>
        <w:tc>
          <w:tcPr>
            <w:tcW w:w="3420" w:type="dxa"/>
            <w:vAlign w:val="bottom"/>
          </w:tcPr>
          <w:p>
            <w:pPr>
              <w:ind w:left="40"/>
              <w:spacing w:after="0" w:line="157" w:lineRule="exact"/>
              <w:rPr>
                <w:sz w:val="20"/>
                <w:szCs w:val="20"/>
                <w:color w:val="auto"/>
              </w:rPr>
            </w:pPr>
            <w:r>
              <w:rPr>
                <w:rFonts w:ascii="Arial" w:cs="Arial" w:eastAsia="Arial" w:hAnsi="Arial"/>
                <w:sz w:val="14"/>
                <w:szCs w:val="14"/>
                <w:color w:val="auto"/>
                <w:w w:val="94"/>
              </w:rPr>
              <w:t>Ground up mixed use development. Initial phase consists</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5% - 7%</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$145 -</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$25</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560" w:type="dxa"/>
            <w:vAlign w:val="bottom"/>
          </w:tcPr>
          <w:p>
            <w:pPr>
              <w:ind w:left="40"/>
              <w:spacing w:after="0" w:line="149" w:lineRule="exact"/>
              <w:rPr>
                <w:sz w:val="20"/>
                <w:szCs w:val="20"/>
                <w:color w:val="auto"/>
              </w:rPr>
            </w:pPr>
            <w:r>
              <w:rPr>
                <w:rFonts w:ascii="Arial" w:cs="Arial" w:eastAsia="Arial" w:hAnsi="Arial"/>
                <w:sz w:val="14"/>
                <w:szCs w:val="14"/>
                <w:color w:val="auto"/>
              </w:rPr>
              <w:t>(5)</w:t>
            </w:r>
          </w:p>
        </w:tc>
        <w:tc>
          <w:tcPr>
            <w:tcW w:w="1260" w:type="dxa"/>
            <w:vAlign w:val="bottom"/>
          </w:tcPr>
          <w:p>
            <w:pPr>
              <w:spacing w:after="0"/>
              <w:rPr>
                <w:sz w:val="12"/>
                <w:szCs w:val="12"/>
                <w:color w:val="auto"/>
              </w:rPr>
            </w:pPr>
          </w:p>
        </w:tc>
        <w:tc>
          <w:tcPr>
            <w:tcW w:w="3420" w:type="dxa"/>
            <w:vAlign w:val="bottom"/>
          </w:tcPr>
          <w:p>
            <w:pPr>
              <w:ind w:left="40"/>
              <w:spacing w:after="0" w:line="149" w:lineRule="exact"/>
              <w:rPr>
                <w:sz w:val="20"/>
                <w:szCs w:val="20"/>
                <w:color w:val="auto"/>
              </w:rPr>
            </w:pPr>
            <w:r>
              <w:rPr>
                <w:rFonts w:ascii="Arial" w:cs="Arial" w:eastAsia="Arial" w:hAnsi="Arial"/>
                <w:sz w:val="14"/>
                <w:szCs w:val="14"/>
                <w:color w:val="auto"/>
              </w:rPr>
              <w:t>of 575 residential units (by AvalonBay) and 323,000</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ind w:left="40"/>
              <w:spacing w:after="0" w:line="149" w:lineRule="exact"/>
              <w:rPr>
                <w:sz w:val="20"/>
                <w:szCs w:val="20"/>
                <w:color w:val="auto"/>
              </w:rPr>
            </w:pPr>
            <w:r>
              <w:rPr>
                <w:rFonts w:ascii="Arial" w:cs="Arial" w:eastAsia="Arial" w:hAnsi="Arial"/>
                <w:sz w:val="14"/>
                <w:szCs w:val="14"/>
                <w:color w:val="auto"/>
                <w:w w:val="95"/>
              </w:rPr>
              <w:t>square feet of retail space (including restaurant pad site).</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ind w:left="40"/>
              <w:spacing w:after="0" w:line="149" w:lineRule="exact"/>
              <w:rPr>
                <w:sz w:val="20"/>
                <w:szCs w:val="20"/>
                <w:color w:val="auto"/>
              </w:rPr>
            </w:pPr>
            <w:r>
              <w:rPr>
                <w:rFonts w:ascii="Arial" w:cs="Arial" w:eastAsia="Arial" w:hAnsi="Arial"/>
                <w:sz w:val="14"/>
                <w:szCs w:val="14"/>
                <w:color w:val="auto"/>
              </w:rPr>
              <w:t>A new Orange Line T-Stop will also be constructed by</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20" w:type="dxa"/>
            <w:vAlign w:val="bottom"/>
          </w:tcPr>
          <w:p>
            <w:pPr>
              <w:ind w:left="40"/>
              <w:spacing w:after="0"/>
              <w:rPr>
                <w:sz w:val="20"/>
                <w:szCs w:val="20"/>
                <w:color w:val="auto"/>
              </w:rPr>
            </w:pPr>
            <w:r>
              <w:rPr>
                <w:rFonts w:ascii="Arial" w:cs="Arial" w:eastAsia="Arial" w:hAnsi="Arial"/>
                <w:sz w:val="14"/>
                <w:szCs w:val="14"/>
                <w:color w:val="auto"/>
                <w:w w:val="96"/>
              </w:rPr>
              <w:t>Massachusetts Bay Transit Authority, as part of Phase I.</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8B</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Jose, CA</w:t>
            </w: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Ground up development of a 5-story rental apartment</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 - 8%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$70 - $75</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associated parking.</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40"/>
              <w:spacing w:after="0"/>
              <w:rPr>
                <w:sz w:val="20"/>
                <w:szCs w:val="20"/>
                <w:color w:val="auto"/>
              </w:rPr>
            </w:pPr>
            <w:r>
              <w:rPr>
                <w:rFonts w:ascii="Arial" w:cs="Arial" w:eastAsia="Arial" w:hAnsi="Arial"/>
                <w:sz w:val="14"/>
                <w:szCs w:val="14"/>
                <w:color w:val="auto"/>
              </w:rPr>
              <w:t>Santana Row - Lot 6B</w:t>
            </w:r>
          </w:p>
        </w:tc>
        <w:tc>
          <w:tcPr>
            <w:tcW w:w="1260" w:type="dxa"/>
            <w:vAlign w:val="bottom"/>
          </w:tcPr>
          <w:p>
            <w:pPr>
              <w:ind w:left="100"/>
              <w:spacing w:after="0"/>
              <w:rPr>
                <w:sz w:val="20"/>
                <w:szCs w:val="20"/>
                <w:color w:val="auto"/>
              </w:rPr>
            </w:pPr>
            <w:r>
              <w:rPr>
                <w:rFonts w:ascii="Arial" w:cs="Arial" w:eastAsia="Arial" w:hAnsi="Arial"/>
                <w:sz w:val="14"/>
                <w:szCs w:val="14"/>
                <w:color w:val="auto"/>
              </w:rPr>
              <w:t>San Jose, CA</w:t>
            </w:r>
          </w:p>
        </w:tc>
        <w:tc>
          <w:tcPr>
            <w:tcW w:w="3420" w:type="dxa"/>
            <w:vAlign w:val="bottom"/>
          </w:tcPr>
          <w:p>
            <w:pPr>
              <w:ind w:left="40"/>
              <w:spacing w:after="0"/>
              <w:rPr>
                <w:sz w:val="20"/>
                <w:szCs w:val="20"/>
                <w:color w:val="auto"/>
              </w:rPr>
            </w:pPr>
            <w:r>
              <w:rPr>
                <w:rFonts w:ascii="Arial" w:cs="Arial" w:eastAsia="Arial" w:hAnsi="Arial"/>
                <w:sz w:val="14"/>
                <w:szCs w:val="14"/>
                <w:color w:val="auto"/>
              </w:rPr>
              <w:t>108 unit residential building</w:t>
            </w:r>
          </w:p>
        </w:tc>
        <w:tc>
          <w:tcPr>
            <w:tcW w:w="186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6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3420" w:type="dxa"/>
            <w:vAlign w:val="bottom"/>
            <w:tcBorders>
              <w:bottom w:val="single" w:sz="8" w:color="CCEEFF"/>
            </w:tcBorders>
          </w:tcPr>
          <w:p>
            <w:pPr>
              <w:spacing w:after="0"/>
              <w:rPr>
                <w:sz w:val="6"/>
                <w:szCs w:val="6"/>
                <w:color w:val="auto"/>
              </w:rPr>
            </w:pPr>
          </w:p>
        </w:tc>
        <w:tc>
          <w:tcPr>
            <w:tcW w:w="186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7" w:lineRule="exact"/>
              <w:rPr>
                <w:sz w:val="20"/>
                <w:szCs w:val="20"/>
                <w:color w:val="auto"/>
              </w:rPr>
            </w:pPr>
            <w:r>
              <w:rPr>
                <w:rFonts w:ascii="Arial" w:cs="Arial" w:eastAsia="Arial" w:hAnsi="Arial"/>
                <w:sz w:val="14"/>
                <w:szCs w:val="14"/>
                <w:b w:val="1"/>
                <w:bCs w:val="1"/>
                <w:color w:val="auto"/>
              </w:rPr>
              <w:t>$553 -</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Mixed Use Projects Anticipated to Stabilize in 2012 and beyond (4)</w:t>
            </w:r>
          </w:p>
        </w:tc>
        <w:tc>
          <w:tcPr>
            <w:tcW w:w="18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 - 8%</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$584</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future phases.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2012</w:t>
      </w:r>
    </w:p>
    <w:p>
      <w:pPr>
        <w:spacing w:after="0" w:line="374"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THE AVENUE at White</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Marsh</w:t>
            </w:r>
          </w:p>
        </w:tc>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Baltimore, MD</w:t>
            </w:r>
          </w:p>
        </w:tc>
        <w:tc>
          <w:tcPr>
            <w:tcW w:w="2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Flourtown</w:t>
            </w:r>
          </w:p>
        </w:tc>
        <w:tc>
          <w:tcPr>
            <w:tcW w:w="5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Flourtown, PA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Brick Plaza</w:t>
            </w:r>
          </w:p>
        </w:tc>
        <w:tc>
          <w:tcPr>
            <w:tcW w:w="1820" w:type="dxa"/>
            <w:vAlign w:val="bottom"/>
          </w:tcPr>
          <w:p>
            <w:pPr>
              <w:ind w:left="180"/>
              <w:spacing w:after="0"/>
              <w:rPr>
                <w:sz w:val="20"/>
                <w:szCs w:val="20"/>
                <w:color w:val="auto"/>
              </w:rPr>
            </w:pPr>
            <w:r>
              <w:rPr>
                <w:rFonts w:ascii="Arial" w:cs="Arial" w:eastAsia="Arial" w:hAnsi="Arial"/>
                <w:sz w:val="16"/>
                <w:szCs w:val="16"/>
                <w:color w:val="auto"/>
              </w:rPr>
              <w:t>Brick, NJ</w:t>
            </w:r>
          </w:p>
        </w:tc>
        <w:tc>
          <w:tcPr>
            <w:tcW w:w="2080" w:type="dxa"/>
            <w:vAlign w:val="bottom"/>
          </w:tcPr>
          <w:p>
            <w:pPr>
              <w:ind w:left="660"/>
              <w:spacing w:after="0"/>
              <w:rPr>
                <w:sz w:val="20"/>
                <w:szCs w:val="20"/>
                <w:color w:val="auto"/>
              </w:rPr>
            </w:pPr>
            <w:r>
              <w:rPr>
                <w:rFonts w:ascii="Arial" w:cs="Arial" w:eastAsia="Arial" w:hAnsi="Arial"/>
                <w:sz w:val="16"/>
                <w:szCs w:val="16"/>
                <w:b w:val="1"/>
                <w:bCs w:val="1"/>
                <w:color w:val="auto"/>
              </w:rPr>
              <w:t>Melville Mall</w:t>
            </w:r>
          </w:p>
        </w:tc>
        <w:tc>
          <w:tcPr>
            <w:tcW w:w="5020" w:type="dxa"/>
            <w:vAlign w:val="bottom"/>
          </w:tcPr>
          <w:p>
            <w:pPr>
              <w:ind w:left="500"/>
              <w:spacing w:after="0"/>
              <w:rPr>
                <w:sz w:val="20"/>
                <w:szCs w:val="20"/>
                <w:color w:val="auto"/>
              </w:rPr>
            </w:pPr>
            <w:r>
              <w:rPr>
                <w:rFonts w:ascii="Arial" w:cs="Arial" w:eastAsia="Arial" w:hAnsi="Arial"/>
                <w:sz w:val="16"/>
                <w:szCs w:val="16"/>
                <w:color w:val="auto"/>
              </w:rPr>
              <w:t>Huntington, NY</w:t>
            </w:r>
          </w:p>
        </w:tc>
      </w:tr>
      <w:tr>
        <w:trPr>
          <w:trHeight w:val="33"/>
        </w:trPr>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Congressional Plaza</w:t>
            </w:r>
          </w:p>
        </w:tc>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Rockville, MD</w:t>
            </w:r>
          </w:p>
        </w:tc>
        <w:tc>
          <w:tcPr>
            <w:tcW w:w="2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Mercer Mall</w:t>
            </w:r>
          </w:p>
        </w:tc>
        <w:tc>
          <w:tcPr>
            <w:tcW w:w="5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Lawrenceville, NJ</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Dedham Plaza</w:t>
            </w:r>
          </w:p>
        </w:tc>
        <w:tc>
          <w:tcPr>
            <w:tcW w:w="1820" w:type="dxa"/>
            <w:vAlign w:val="bottom"/>
          </w:tcPr>
          <w:p>
            <w:pPr>
              <w:ind w:left="180"/>
              <w:spacing w:after="0"/>
              <w:rPr>
                <w:sz w:val="20"/>
                <w:szCs w:val="20"/>
                <w:color w:val="auto"/>
              </w:rPr>
            </w:pPr>
            <w:r>
              <w:rPr>
                <w:rFonts w:ascii="Arial" w:cs="Arial" w:eastAsia="Arial" w:hAnsi="Arial"/>
                <w:sz w:val="16"/>
                <w:szCs w:val="16"/>
                <w:color w:val="auto"/>
              </w:rPr>
              <w:t>Dedham, MA</w:t>
            </w:r>
          </w:p>
        </w:tc>
        <w:tc>
          <w:tcPr>
            <w:tcW w:w="2080" w:type="dxa"/>
            <w:vAlign w:val="bottom"/>
          </w:tcPr>
          <w:p>
            <w:pPr>
              <w:ind w:left="660"/>
              <w:spacing w:after="0"/>
              <w:rPr>
                <w:sz w:val="20"/>
                <w:szCs w:val="20"/>
                <w:color w:val="auto"/>
              </w:rPr>
            </w:pPr>
            <w:r>
              <w:rPr>
                <w:rFonts w:ascii="Arial" w:cs="Arial" w:eastAsia="Arial" w:hAnsi="Arial"/>
                <w:sz w:val="16"/>
                <w:szCs w:val="16"/>
                <w:b w:val="1"/>
                <w:bCs w:val="1"/>
                <w:color w:val="auto"/>
              </w:rPr>
              <w:t>Troy</w:t>
            </w:r>
          </w:p>
        </w:tc>
        <w:tc>
          <w:tcPr>
            <w:tcW w:w="5020" w:type="dxa"/>
            <w:vAlign w:val="bottom"/>
          </w:tcPr>
          <w:p>
            <w:pPr>
              <w:ind w:left="500"/>
              <w:spacing w:after="0"/>
              <w:rPr>
                <w:sz w:val="20"/>
                <w:szCs w:val="20"/>
                <w:color w:val="auto"/>
              </w:rPr>
            </w:pPr>
            <w:r>
              <w:rPr>
                <w:rFonts w:ascii="Arial" w:cs="Arial" w:eastAsia="Arial" w:hAnsi="Arial"/>
                <w:sz w:val="16"/>
                <w:szCs w:val="16"/>
                <w:color w:val="auto"/>
              </w:rPr>
              <w:t>Parsippany, NJ</w:t>
            </w:r>
          </w:p>
        </w:tc>
      </w:tr>
      <w:tr>
        <w:trPr>
          <w:trHeight w:val="33"/>
        </w:trPr>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w:t>
            </w:r>
          </w:p>
        </w:tc>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Escondido, CA</w:t>
            </w:r>
          </w:p>
        </w:tc>
        <w:tc>
          <w:tcPr>
            <w:tcW w:w="2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Wildwood</w:t>
            </w:r>
          </w:p>
        </w:tc>
        <w:tc>
          <w:tcPr>
            <w:tcW w:w="5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Bethesda, MD</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1820" w:type="dxa"/>
            <w:vAlign w:val="bottom"/>
          </w:tcPr>
          <w:p>
            <w:pPr>
              <w:ind w:left="180"/>
              <w:spacing w:after="0"/>
              <w:rPr>
                <w:sz w:val="20"/>
                <w:szCs w:val="20"/>
                <w:color w:val="auto"/>
              </w:rPr>
            </w:pPr>
            <w:r>
              <w:rPr>
                <w:rFonts w:ascii="Arial" w:cs="Arial" w:eastAsia="Arial" w:hAnsi="Arial"/>
                <w:sz w:val="16"/>
                <w:szCs w:val="16"/>
                <w:color w:val="auto"/>
              </w:rPr>
              <w:t>Rockville, MD</w:t>
            </w:r>
          </w:p>
        </w:tc>
        <w:tc>
          <w:tcPr>
            <w:tcW w:w="20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3"/>
        </w:trPr>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97"/>
        </w:trPr>
        <w:tc>
          <w:tcPr>
            <w:tcW w:w="25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Queens, NY</w:t>
            </w:r>
          </w:p>
        </w:tc>
        <w:tc>
          <w:tcPr>
            <w:tcW w:w="2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w w:val="96"/>
              </w:rPr>
              <w:t>Plaza El Segundo (Land)</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El Segundo, CA</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Hollywood Blvd</w:t>
            </w:r>
          </w:p>
        </w:tc>
        <w:tc>
          <w:tcPr>
            <w:tcW w:w="2040" w:type="dxa"/>
            <w:vAlign w:val="bottom"/>
          </w:tcPr>
          <w:p>
            <w:pPr>
              <w:ind w:left="380"/>
              <w:spacing w:after="0"/>
              <w:rPr>
                <w:sz w:val="20"/>
                <w:szCs w:val="20"/>
                <w:color w:val="auto"/>
              </w:rPr>
            </w:pPr>
            <w:r>
              <w:rPr>
                <w:rFonts w:ascii="Arial" w:cs="Arial" w:eastAsia="Arial" w:hAnsi="Arial"/>
                <w:sz w:val="16"/>
                <w:szCs w:val="16"/>
                <w:color w:val="auto"/>
              </w:rPr>
              <w:t>Hollywood, CA</w:t>
            </w:r>
          </w:p>
        </w:tc>
        <w:tc>
          <w:tcPr>
            <w:tcW w:w="2460" w:type="dxa"/>
            <w:vAlign w:val="bottom"/>
          </w:tcPr>
          <w:p>
            <w:pPr>
              <w:ind w:left="640"/>
              <w:spacing w:after="0"/>
              <w:rPr>
                <w:sz w:val="20"/>
                <w:szCs w:val="20"/>
                <w:color w:val="auto"/>
              </w:rPr>
            </w:pPr>
            <w:r>
              <w:rPr>
                <w:rFonts w:ascii="Arial" w:cs="Arial" w:eastAsia="Arial" w:hAnsi="Arial"/>
                <w:sz w:val="16"/>
                <w:szCs w:val="16"/>
                <w:b w:val="1"/>
                <w:bCs w:val="1"/>
                <w:color w:val="auto"/>
                <w:w w:val="99"/>
              </w:rPr>
              <w:t>Third Street Promenade</w:t>
            </w:r>
          </w:p>
        </w:tc>
        <w:tc>
          <w:tcPr>
            <w:tcW w:w="4620" w:type="dxa"/>
            <w:vAlign w:val="bottom"/>
          </w:tcPr>
          <w:p>
            <w:pPr>
              <w:ind w:left="100"/>
              <w:spacing w:after="0"/>
              <w:rPr>
                <w:sz w:val="20"/>
                <w:szCs w:val="20"/>
                <w:color w:val="auto"/>
              </w:rPr>
            </w:pPr>
            <w:r>
              <w:rPr>
                <w:rFonts w:ascii="Arial" w:cs="Arial" w:eastAsia="Arial" w:hAnsi="Arial"/>
                <w:sz w:val="16"/>
                <w:szCs w:val="16"/>
                <w:color w:val="auto"/>
              </w:rPr>
              <w:t>Santa Monica, CA</w:t>
            </w:r>
          </w:p>
        </w:tc>
      </w:tr>
      <w:tr>
        <w:trPr>
          <w:trHeight w:val="33"/>
        </w:trPr>
        <w:tc>
          <w:tcPr>
            <w:tcW w:w="2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Montrose Crossing</w:t>
            </w:r>
          </w:p>
        </w:tc>
        <w:tc>
          <w:tcPr>
            <w:tcW w:w="2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Rockville, MD</w:t>
            </w:r>
          </w:p>
        </w:tc>
        <w:tc>
          <w:tcPr>
            <w:tcW w:w="2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Tower Shops</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Davie, FL</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Pentagon Row</w:t>
            </w:r>
          </w:p>
        </w:tc>
        <w:tc>
          <w:tcPr>
            <w:tcW w:w="2040" w:type="dxa"/>
            <w:vAlign w:val="bottom"/>
          </w:tcPr>
          <w:p>
            <w:pPr>
              <w:ind w:left="380"/>
              <w:spacing w:after="0"/>
              <w:rPr>
                <w:sz w:val="20"/>
                <w:szCs w:val="20"/>
                <w:color w:val="auto"/>
              </w:rPr>
            </w:pPr>
            <w:r>
              <w:rPr>
                <w:rFonts w:ascii="Arial" w:cs="Arial" w:eastAsia="Arial" w:hAnsi="Arial"/>
                <w:sz w:val="16"/>
                <w:szCs w:val="16"/>
                <w:color w:val="auto"/>
              </w:rPr>
              <w:t>Arlington, VA</w:t>
            </w:r>
          </w:p>
        </w:tc>
        <w:tc>
          <w:tcPr>
            <w:tcW w:w="2460" w:type="dxa"/>
            <w:vAlign w:val="bottom"/>
          </w:tcPr>
          <w:p>
            <w:pPr>
              <w:ind w:left="640"/>
              <w:spacing w:after="0"/>
              <w:rPr>
                <w:sz w:val="20"/>
                <w:szCs w:val="20"/>
                <w:color w:val="auto"/>
              </w:rPr>
            </w:pPr>
            <w:r>
              <w:rPr>
                <w:rFonts w:ascii="Arial" w:cs="Arial" w:eastAsia="Arial" w:hAnsi="Arial"/>
                <w:sz w:val="16"/>
                <w:szCs w:val="16"/>
                <w:b w:val="1"/>
                <w:bCs w:val="1"/>
                <w:color w:val="auto"/>
              </w:rPr>
              <w:t>Wildwood</w:t>
            </w:r>
          </w:p>
        </w:tc>
        <w:tc>
          <w:tcPr>
            <w:tcW w:w="4620" w:type="dxa"/>
            <w:vAlign w:val="bottom"/>
          </w:tcPr>
          <w:p>
            <w:pPr>
              <w:ind w:left="100"/>
              <w:spacing w:after="0"/>
              <w:rPr>
                <w:sz w:val="20"/>
                <w:szCs w:val="20"/>
                <w:color w:val="auto"/>
              </w:rPr>
            </w:pPr>
            <w:r>
              <w:rPr>
                <w:rFonts w:ascii="Arial" w:cs="Arial" w:eastAsia="Arial" w:hAnsi="Arial"/>
                <w:sz w:val="16"/>
                <w:szCs w:val="16"/>
                <w:color w:val="auto"/>
              </w:rPr>
              <w:t>Bethesda, MD</w:t>
            </w:r>
          </w:p>
        </w:tc>
      </w:tr>
      <w:tr>
        <w:trPr>
          <w:trHeight w:val="33"/>
        </w:trPr>
        <w:tc>
          <w:tcPr>
            <w:tcW w:w="2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97"/>
        </w:trPr>
        <w:tc>
          <w:tcPr>
            <w:tcW w:w="23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Barracks Road</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Charlottesville, VA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Arlington,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Del Mar Village</w:t>
            </w:r>
          </w:p>
        </w:tc>
        <w:tc>
          <w:tcPr>
            <w:tcW w:w="2100" w:type="dxa"/>
            <w:vAlign w:val="bottom"/>
          </w:tcPr>
          <w:p>
            <w:pPr>
              <w:ind w:left="320"/>
              <w:spacing w:after="0"/>
              <w:rPr>
                <w:sz w:val="20"/>
                <w:szCs w:val="20"/>
                <w:color w:val="auto"/>
              </w:rPr>
            </w:pPr>
            <w:r>
              <w:rPr>
                <w:rFonts w:ascii="Arial" w:cs="Arial" w:eastAsia="Arial" w:hAnsi="Arial"/>
                <w:sz w:val="16"/>
                <w:szCs w:val="16"/>
                <w:color w:val="auto"/>
              </w:rPr>
              <w:t>Boca Raton, FL</w:t>
            </w:r>
          </w:p>
        </w:tc>
        <w:tc>
          <w:tcPr>
            <w:tcW w:w="23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40" w:type="dxa"/>
            <w:vAlign w:val="bottom"/>
            <w:gridSpan w:val="3"/>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r>
      <w:tr>
        <w:trPr>
          <w:trHeight w:val="224"/>
        </w:trPr>
        <w:tc>
          <w:tcPr>
            <w:tcW w:w="4460" w:type="dxa"/>
            <w:vAlign w:val="bottom"/>
            <w:gridSpan w:val="5"/>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Assembly Row (1)</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Somerville, MA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7</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Vienna, VA</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6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Bala Cynwyd</w:t>
            </w:r>
          </w:p>
        </w:tc>
        <w:tc>
          <w:tcPr>
            <w:tcW w:w="2100" w:type="dxa"/>
            <w:vAlign w:val="bottom"/>
          </w:tcPr>
          <w:p>
            <w:pPr>
              <w:ind w:left="320"/>
              <w:spacing w:after="0"/>
              <w:rPr>
                <w:sz w:val="20"/>
                <w:szCs w:val="20"/>
                <w:color w:val="auto"/>
              </w:rPr>
            </w:pPr>
            <w:r>
              <w:rPr>
                <w:rFonts w:ascii="Arial" w:cs="Arial" w:eastAsia="Arial" w:hAnsi="Arial"/>
                <w:sz w:val="16"/>
                <w:szCs w:val="16"/>
                <w:color w:val="auto"/>
              </w:rPr>
              <w:t>Bala Cynwyd, PA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(2)</w:t>
            </w:r>
          </w:p>
        </w:tc>
        <w:tc>
          <w:tcPr>
            <w:tcW w:w="4660" w:type="dxa"/>
            <w:vAlign w:val="bottom"/>
          </w:tcPr>
          <w:p>
            <w:pPr>
              <w:ind w:left="140"/>
              <w:spacing w:after="0"/>
              <w:rPr>
                <w:sz w:val="20"/>
                <w:szCs w:val="20"/>
                <w:color w:val="auto"/>
              </w:rPr>
            </w:pPr>
            <w:r>
              <w:rPr>
                <w:rFonts w:ascii="Arial" w:cs="Arial" w:eastAsia="Arial" w:hAnsi="Arial"/>
                <w:sz w:val="16"/>
                <w:szCs w:val="16"/>
                <w:color w:val="auto"/>
              </w:rPr>
              <w:t>Rockville, MD</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Forest Hills</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Forest Hills, NY</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San Jose, CA</w:t>
            </w:r>
          </w:p>
        </w:tc>
      </w:tr>
      <w:tr>
        <w:trPr>
          <w:trHeight w:val="32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5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8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800" w:type="dxa"/>
            <w:vAlign w:val="bottom"/>
          </w:tcPr>
          <w:p>
            <w:pPr>
              <w:ind w:left="60"/>
              <w:spacing w:after="0"/>
              <w:rPr>
                <w:sz w:val="20"/>
                <w:szCs w:val="20"/>
                <w:color w:val="auto"/>
              </w:rPr>
            </w:pPr>
            <w:r>
              <w:rPr>
                <w:rFonts w:ascii="Arial" w:cs="Arial" w:eastAsia="Arial" w:hAnsi="Arial"/>
                <w:sz w:val="14"/>
                <w:szCs w:val="14"/>
                <w:color w:val="auto"/>
              </w:rPr>
              <w:t>Assembly Row</w:t>
            </w:r>
          </w:p>
        </w:tc>
        <w:tc>
          <w:tcPr>
            <w:tcW w:w="9060" w:type="dxa"/>
            <w:vAlign w:val="bottom"/>
            <w:gridSpan w:val="3"/>
          </w:tcPr>
          <w:p>
            <w:pPr>
              <w:ind w:left="320"/>
              <w:spacing w:after="0"/>
              <w:rPr>
                <w:sz w:val="20"/>
                <w:szCs w:val="20"/>
                <w:color w:val="auto"/>
              </w:rPr>
            </w:pPr>
            <w:r>
              <w:rPr>
                <w:rFonts w:ascii="Arial" w:cs="Arial" w:eastAsia="Arial" w:hAnsi="Arial"/>
                <w:sz w:val="14"/>
                <w:szCs w:val="14"/>
                <w:color w:val="auto"/>
                <w:w w:val="99"/>
              </w:rPr>
              <w:t>Remaining entitlements after Phase 1 include 2 million square feet of commercial-use buildings, 1,525 residential units, and a 200 room hotel.</w:t>
            </w:r>
          </w:p>
        </w:tc>
      </w:tr>
      <w:tr>
        <w:trPr>
          <w:trHeight w:val="209"/>
        </w:trPr>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Pike &amp; Rose (Mid-Pike)</w:t>
            </w:r>
          </w:p>
        </w:tc>
        <w:tc>
          <w:tcPr>
            <w:tcW w:w="9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Remaining entitlements after Phase 1 include 1.5 million square feet of commercial-use buildings, and 1,090 residential units.</w:t>
            </w:r>
          </w:p>
        </w:tc>
      </w:tr>
      <w:tr>
        <w:trPr>
          <w:trHeight w:val="191"/>
        </w:trPr>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(3)</w:t>
            </w:r>
          </w:p>
        </w:tc>
        <w:tc>
          <w:tcPr>
            <w:tcW w:w="1800" w:type="dxa"/>
            <w:vAlign w:val="bottom"/>
          </w:tcPr>
          <w:p>
            <w:pPr>
              <w:ind w:left="60"/>
              <w:spacing w:after="0"/>
              <w:rPr>
                <w:sz w:val="20"/>
                <w:szCs w:val="20"/>
                <w:color w:val="auto"/>
              </w:rPr>
            </w:pPr>
            <w:r>
              <w:rPr>
                <w:rFonts w:ascii="Arial" w:cs="Arial" w:eastAsia="Arial" w:hAnsi="Arial"/>
                <w:sz w:val="14"/>
                <w:szCs w:val="14"/>
                <w:color w:val="auto"/>
              </w:rPr>
              <w:t>Santana Row</w:t>
            </w:r>
          </w:p>
        </w:tc>
        <w:tc>
          <w:tcPr>
            <w:tcW w:w="9060" w:type="dxa"/>
            <w:vAlign w:val="bottom"/>
            <w:gridSpan w:val="3"/>
          </w:tcPr>
          <w:p>
            <w:pPr>
              <w:ind w:left="320"/>
              <w:spacing w:after="0"/>
              <w:rPr>
                <w:sz w:val="20"/>
                <w:szCs w:val="20"/>
                <w:color w:val="auto"/>
              </w:rPr>
            </w:pPr>
            <w:r>
              <w:rPr>
                <w:rFonts w:ascii="Arial" w:cs="Arial" w:eastAsia="Arial" w:hAnsi="Arial"/>
                <w:sz w:val="14"/>
                <w:szCs w:val="14"/>
                <w:color w:val="auto"/>
                <w:w w:val="99"/>
              </w:rPr>
              <w:t>Current remaining entitlements for this property include 348 residential units and 200,000 square feet of commercial space for retail and office.</w:t>
            </w: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7"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38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MSA Description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r>
      <w:tr>
        <w:trPr>
          <w:trHeight w:val="148"/>
        </w:trPr>
        <w:tc>
          <w:tcPr>
            <w:tcW w:w="1340" w:type="dxa"/>
            <w:vAlign w:val="bottom"/>
            <w:tcBorders>
              <w:top w:val="single" w:sz="8" w:color="CCEEFF"/>
            </w:tcBorders>
            <w:gridSpan w:val="3"/>
          </w:tcPr>
          <w:p>
            <w:pPr>
              <w:ind w:left="20"/>
              <w:spacing w:after="0" w:line="148" w:lineRule="exact"/>
              <w:rPr>
                <w:sz w:val="20"/>
                <w:szCs w:val="20"/>
                <w:color w:val="auto"/>
              </w:rPr>
            </w:pPr>
            <w:r>
              <w:rPr>
                <w:rFonts w:ascii="Arial" w:cs="Arial" w:eastAsia="Arial" w:hAnsi="Arial"/>
                <w:sz w:val="13"/>
                <w:szCs w:val="13"/>
                <w:color w:val="auto"/>
              </w:rPr>
              <w:t>Bethesda Row</w:t>
            </w:r>
          </w:p>
        </w:tc>
        <w:tc>
          <w:tcPr>
            <w:tcW w:w="44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gridSpan w:val="2"/>
          </w:tcPr>
          <w:p>
            <w:pPr>
              <w:spacing w:after="0" w:line="148" w:lineRule="exact"/>
              <w:rPr>
                <w:sz w:val="20"/>
                <w:szCs w:val="20"/>
                <w:color w:val="auto"/>
              </w:rPr>
            </w:pPr>
            <w:r>
              <w:rPr>
                <w:rFonts w:ascii="Arial" w:cs="Arial" w:eastAsia="Arial" w:hAnsi="Arial"/>
                <w:sz w:val="13"/>
                <w:szCs w:val="13"/>
                <w:color w:val="auto"/>
                <w:w w:val="97"/>
              </w:rPr>
              <w:t>Washington, DC-MD-VA</w:t>
            </w:r>
          </w:p>
        </w:tc>
        <w:tc>
          <w:tcPr>
            <w:tcW w:w="1580" w:type="dxa"/>
            <w:vAlign w:val="bottom"/>
            <w:tcBorders>
              <w:top w:val="single" w:sz="8" w:color="CCEEFF"/>
            </w:tcBorders>
            <w:gridSpan w:val="2"/>
          </w:tcPr>
          <w:p>
            <w:pPr>
              <w:jc w:val="right"/>
              <w:ind w:right="57"/>
              <w:spacing w:after="0" w:line="148" w:lineRule="exact"/>
              <w:rPr>
                <w:sz w:val="20"/>
                <w:szCs w:val="20"/>
                <w:color w:val="auto"/>
              </w:rPr>
            </w:pPr>
            <w:r>
              <w:rPr>
                <w:rFonts w:ascii="Arial" w:cs="Arial" w:eastAsia="Arial" w:hAnsi="Arial"/>
                <w:sz w:val="13"/>
                <w:szCs w:val="13"/>
                <w:color w:val="auto"/>
              </w:rPr>
              <w:t>1993- $ 215,971</w:t>
            </w:r>
          </w:p>
        </w:tc>
        <w:tc>
          <w:tcPr>
            <w:tcW w:w="660" w:type="dxa"/>
            <w:vAlign w:val="bottom"/>
            <w:tcBorders>
              <w:top w:val="single" w:sz="8" w:color="CCEEFF"/>
            </w:tcBorders>
          </w:tcPr>
          <w:p>
            <w:pPr>
              <w:jc w:val="right"/>
              <w:ind w:right="58"/>
              <w:spacing w:after="0" w:line="148" w:lineRule="exact"/>
              <w:rPr>
                <w:sz w:val="20"/>
                <w:szCs w:val="20"/>
                <w:color w:val="auto"/>
              </w:rPr>
            </w:pPr>
            <w:r>
              <w:rPr>
                <w:rFonts w:ascii="Arial" w:cs="Arial" w:eastAsia="Arial" w:hAnsi="Arial"/>
                <w:sz w:val="13"/>
                <w:szCs w:val="13"/>
                <w:color w:val="auto"/>
                <w:w w:val="95"/>
              </w:rPr>
              <w:t>$  23,932</w:t>
            </w:r>
          </w:p>
        </w:tc>
        <w:tc>
          <w:tcPr>
            <w:tcW w:w="64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90"/>
              </w:rPr>
              <w:t>40,000</w:t>
            </w:r>
          </w:p>
        </w:tc>
        <w:tc>
          <w:tcPr>
            <w:tcW w:w="820" w:type="dxa"/>
            <w:vAlign w:val="bottom"/>
            <w:tcBorders>
              <w:top w:val="single" w:sz="8" w:color="CCEEFF"/>
            </w:tcBorders>
          </w:tcPr>
          <w:p>
            <w:pPr>
              <w:ind w:left="100"/>
              <w:spacing w:after="0" w:line="148" w:lineRule="exact"/>
              <w:rPr>
                <w:sz w:val="20"/>
                <w:szCs w:val="20"/>
                <w:color w:val="auto"/>
              </w:rPr>
            </w:pPr>
            <w:r>
              <w:rPr>
                <w:rFonts w:ascii="Arial" w:cs="Arial" w:eastAsia="Arial" w:hAnsi="Arial"/>
                <w:sz w:val="13"/>
                <w:szCs w:val="13"/>
                <w:color w:val="auto"/>
              </w:rPr>
              <w:t>Giant Food</w:t>
            </w:r>
          </w:p>
        </w:tc>
        <w:tc>
          <w:tcPr>
            <w:tcW w:w="338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Landmark Theater / Apple Computer / Barnes &amp; Noble</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w w:val="91"/>
              </w:rPr>
              <w:t>2006/2008/2010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Congressional Plaza</w:t>
            </w:r>
          </w:p>
        </w:tc>
        <w:tc>
          <w:tcPr>
            <w:tcW w:w="4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w:t>
            </w: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73,741</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Fresh Market</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Buy Buy Baby / Container Store / Last Call Studio by Neiman</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Marcus</w:t>
            </w: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Courthouse Center</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4,656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36,000</w:t>
            </w:r>
          </w:p>
        </w:tc>
        <w:tc>
          <w:tcPr>
            <w:tcW w:w="52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48"/>
        </w:trPr>
        <w:tc>
          <w:tcPr>
            <w:tcW w:w="13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w w:val="96"/>
              </w:rPr>
              <w:t>Falls Plaza/Falls Plaza-</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12,632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51,000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Giant Food</w:t>
            </w:r>
          </w:p>
        </w:tc>
        <w:tc>
          <w:tcPr>
            <w:tcW w:w="3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East</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Federal Plaza</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63,245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38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35,383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 / Nordstrom Rack</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Gaithersburg Square</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25,220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20" w:type="dxa"/>
            <w:vAlign w:val="bottom"/>
          </w:tcPr>
          <w:p>
            <w:pPr>
              <w:jc w:val="right"/>
              <w:spacing w:after="0"/>
              <w:rPr>
                <w:sz w:val="20"/>
                <w:szCs w:val="20"/>
                <w:color w:val="auto"/>
              </w:rPr>
            </w:pPr>
            <w:r>
              <w:rPr>
                <w:rFonts w:ascii="Arial" w:cs="Arial" w:eastAsia="Arial" w:hAnsi="Arial"/>
                <w:sz w:val="13"/>
                <w:szCs w:val="13"/>
                <w:color w:val="auto"/>
              </w:rPr>
              <w:t>79%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Idylwood Plaza</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16,492</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16,134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38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Laurel</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50,525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20" w:type="dxa"/>
            <w:vAlign w:val="bottom"/>
          </w:tcPr>
          <w:p>
            <w:pPr>
              <w:jc w:val="right"/>
              <w:spacing w:after="0"/>
              <w:rPr>
                <w:sz w:val="20"/>
                <w:szCs w:val="20"/>
                <w:color w:val="auto"/>
              </w:rPr>
            </w:pPr>
            <w:r>
              <w:rPr>
                <w:rFonts w:ascii="Arial" w:cs="Arial" w:eastAsia="Arial" w:hAnsi="Arial"/>
                <w:sz w:val="13"/>
                <w:szCs w:val="13"/>
                <w:color w:val="auto"/>
              </w:rPr>
              <w:t>84%</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61,000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Leesburg Plaza</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35,213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28,074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Loehmann's Plaza</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33,011</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36,303</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259,000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58,000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Mid-Pike Plaza</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50,844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 / L.A. Fitness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Montrose Crossing</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(4)</w:t>
            </w: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2011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140,584</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79,440</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357,000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73,000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380" w:type="dxa"/>
            <w:vAlign w:val="bottom"/>
          </w:tcPr>
          <w:p>
            <w:pPr>
              <w:ind w:left="60"/>
              <w:spacing w:after="0"/>
              <w:rPr>
                <w:sz w:val="20"/>
                <w:szCs w:val="20"/>
                <w:color w:val="auto"/>
              </w:rPr>
            </w:pPr>
            <w:r>
              <w:rPr>
                <w:rFonts w:ascii="Arial" w:cs="Arial" w:eastAsia="Arial" w:hAnsi="Arial"/>
                <w:sz w:val="13"/>
                <w:szCs w:val="13"/>
                <w:color w:val="auto"/>
                <w:w w:val="97"/>
              </w:rPr>
              <w:t>Marshalls / Sports Authority / Barnes &amp; Noble / A.C. Moore</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48"/>
        </w:trPr>
        <w:tc>
          <w:tcPr>
            <w:tcW w:w="13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440" w:type="dxa"/>
            <w:vAlign w:val="bottom"/>
            <w:shd w:val="clear" w:color="auto" w:fill="CCEEFF"/>
          </w:tcPr>
          <w:p>
            <w:pPr>
              <w:jc w:val="right"/>
              <w:ind w:right="117"/>
              <w:spacing w:after="0" w:line="148" w:lineRule="exact"/>
              <w:rPr>
                <w:sz w:val="20"/>
                <w:szCs w:val="20"/>
                <w:color w:val="auto"/>
              </w:rPr>
            </w:pPr>
            <w:r>
              <w:rPr>
                <w:rFonts w:ascii="Arial" w:cs="Arial" w:eastAsia="Arial" w:hAnsi="Arial"/>
                <w:sz w:val="13"/>
                <w:szCs w:val="13"/>
                <w:color w:val="auto"/>
              </w:rPr>
              <w:t>(5)</w:t>
            </w:r>
          </w:p>
        </w:tc>
        <w:tc>
          <w:tcPr>
            <w:tcW w:w="14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78,870</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10,355</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62,000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Shoppers</w:t>
            </w:r>
          </w:p>
        </w:tc>
        <w:tc>
          <w:tcPr>
            <w:tcW w:w="3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9"/>
              </w:rPr>
              <w:t>Bed, Bath &amp; Beyond / Michaels / Home Depot / TJ Maxx /</w:t>
            </w:r>
          </w:p>
        </w:tc>
      </w:tr>
      <w:tr>
        <w:trPr>
          <w:trHeight w:val="135"/>
        </w:trPr>
        <w:tc>
          <w:tcPr>
            <w:tcW w:w="134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Valley/7770 Richmond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w:t>
            </w:r>
          </w:p>
        </w:tc>
        <w:tc>
          <w:tcPr>
            <w:tcW w:w="33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Gold's Gym / Staples</w:t>
            </w:r>
          </w:p>
        </w:tc>
      </w:tr>
      <w:tr>
        <w:trPr>
          <w:trHeight w:val="17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Hwy</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Warehouse</w:t>
            </w: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Old Keene Mill</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6,461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24,000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38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Pan Am</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28,550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Safeway</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Pentagon Row</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88,976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52,114</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296,000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45,000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38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35,749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Quince Orchard</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24,495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20" w:type="dxa"/>
            <w:vAlign w:val="bottom"/>
          </w:tcPr>
          <w:p>
            <w:pPr>
              <w:jc w:val="right"/>
              <w:spacing w:after="0"/>
              <w:rPr>
                <w:sz w:val="20"/>
                <w:szCs w:val="20"/>
                <w:color w:val="auto"/>
              </w:rPr>
            </w:pPr>
            <w:r>
              <w:rPr>
                <w:rFonts w:ascii="Arial" w:cs="Arial" w:eastAsia="Arial" w:hAnsi="Arial"/>
                <w:sz w:val="13"/>
                <w:szCs w:val="13"/>
                <w:color w:val="auto"/>
              </w:rPr>
              <w:t>75%</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24,000</w:t>
            </w:r>
          </w:p>
        </w:tc>
        <w:tc>
          <w:tcPr>
            <w:tcW w:w="820" w:type="dxa"/>
            <w:vAlign w:val="bottom"/>
          </w:tcPr>
          <w:p>
            <w:pPr>
              <w:ind w:left="100"/>
              <w:spacing w:after="0"/>
              <w:rPr>
                <w:sz w:val="20"/>
                <w:szCs w:val="20"/>
                <w:color w:val="auto"/>
              </w:rPr>
            </w:pPr>
            <w:r>
              <w:rPr>
                <w:rFonts w:ascii="Arial" w:cs="Arial" w:eastAsia="Arial" w:hAnsi="Arial"/>
                <w:sz w:val="13"/>
                <w:szCs w:val="13"/>
                <w:color w:val="auto"/>
              </w:rPr>
              <w:t>Magruders</w:t>
            </w:r>
          </w:p>
        </w:tc>
        <w:tc>
          <w:tcPr>
            <w:tcW w:w="3380" w:type="dxa"/>
            <w:vAlign w:val="bottom"/>
          </w:tcPr>
          <w:p>
            <w:pPr>
              <w:ind w:left="60"/>
              <w:spacing w:after="0"/>
              <w:rPr>
                <w:sz w:val="20"/>
                <w:szCs w:val="20"/>
                <w:color w:val="auto"/>
              </w:rPr>
            </w:pPr>
            <w:r>
              <w:rPr>
                <w:rFonts w:ascii="Arial" w:cs="Arial" w:eastAsia="Arial" w:hAnsi="Arial"/>
                <w:sz w:val="13"/>
                <w:szCs w:val="13"/>
                <w:color w:val="auto"/>
              </w:rPr>
              <w:t>Staples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7"/>
              </w:rPr>
              <w:t>Rockville Town Square</w:t>
            </w:r>
          </w:p>
        </w:tc>
        <w:tc>
          <w:tcPr>
            <w:tcW w:w="4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w:t>
            </w: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47,791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4,545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Rollingwood</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8,863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23,066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N/A</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8"/>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Apartments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81"/>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Sam's Park &amp; Shop</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12,843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Tower</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21,136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20" w:type="dxa"/>
            <w:vAlign w:val="bottom"/>
          </w:tcPr>
          <w:p>
            <w:pPr>
              <w:jc w:val="right"/>
              <w:spacing w:after="0"/>
              <w:rPr>
                <w:sz w:val="20"/>
                <w:szCs w:val="20"/>
                <w:color w:val="auto"/>
              </w:rPr>
            </w:pPr>
            <w:r>
              <w:rPr>
                <w:rFonts w:ascii="Arial" w:cs="Arial" w:eastAsia="Arial" w:hAnsi="Arial"/>
                <w:sz w:val="13"/>
                <w:szCs w:val="13"/>
                <w:color w:val="auto"/>
              </w:rPr>
              <w:t>87%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Tyson's Station</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4,041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38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Village at Shirlington</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(3)</w:t>
            </w:r>
          </w:p>
        </w:tc>
        <w:tc>
          <w:tcPr>
            <w:tcW w:w="1400" w:type="dxa"/>
            <w:vAlign w:val="bottom"/>
            <w:gridSpan w:val="2"/>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57,095</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6,384</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38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Wildwood</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18,189</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24,013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1,190,576</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5,451,000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gridSpan w:val="3"/>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8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3160" w:type="dxa"/>
            <w:vAlign w:val="bottom"/>
            <w:gridSpan w:val="5"/>
            <w:shd w:val="clear" w:color="auto" w:fill="CCEEFF"/>
          </w:tcPr>
          <w:p>
            <w:pPr>
              <w:ind w:left="80"/>
              <w:spacing w:after="0"/>
              <w:rPr>
                <w:sz w:val="20"/>
                <w:szCs w:val="20"/>
                <w:color w:val="auto"/>
              </w:rPr>
            </w:pPr>
            <w:r>
              <w:rPr>
                <w:rFonts w:ascii="Arial" w:cs="Arial" w:eastAsia="Arial" w:hAnsi="Arial"/>
                <w:sz w:val="13"/>
                <w:szCs w:val="13"/>
                <w:b w:val="1"/>
                <w:bCs w:val="1"/>
                <w:color w:val="auto"/>
              </w:rPr>
              <w:t>Philadelphia Metropolitan Area</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3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80" w:type="dxa"/>
            <w:vAlign w:val="bottom"/>
            <w:tcBorders>
              <w:top w:val="single" w:sz="8" w:color="CCEEFF"/>
            </w:tcBorders>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Andorra</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25,159</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267,000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38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38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Bala Cynwyd</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39,225</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Ellisburg Circle</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31,210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47,000</w:t>
            </w:r>
          </w:p>
        </w:tc>
        <w:tc>
          <w:tcPr>
            <w:tcW w:w="820" w:type="dxa"/>
            <w:vAlign w:val="bottom"/>
          </w:tcPr>
          <w:p>
            <w:pPr>
              <w:ind w:left="100"/>
              <w:spacing w:after="0"/>
              <w:rPr>
                <w:sz w:val="20"/>
                <w:szCs w:val="20"/>
                <w:color w:val="auto"/>
              </w:rPr>
            </w:pPr>
            <w:r>
              <w:rPr>
                <w:rFonts w:ascii="Arial" w:cs="Arial" w:eastAsia="Arial" w:hAnsi="Arial"/>
                <w:sz w:val="13"/>
                <w:szCs w:val="13"/>
                <w:color w:val="auto"/>
              </w:rPr>
              <w:t>Genuardi's</w:t>
            </w:r>
          </w:p>
        </w:tc>
        <w:tc>
          <w:tcPr>
            <w:tcW w:w="338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Flourtown</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16,057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42,000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Genuardi's</w:t>
            </w:r>
          </w:p>
        </w:tc>
        <w:tc>
          <w:tcPr>
            <w:tcW w:w="338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20,353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38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3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380" w:type="dxa"/>
            <w:vAlign w:val="bottom"/>
          </w:tcPr>
          <w:p>
            <w:pPr>
              <w:spacing w:after="0"/>
              <w:rPr>
                <w:sz w:val="14"/>
                <w:szCs w:val="14"/>
                <w:color w:val="auto"/>
              </w:rPr>
            </w:pPr>
          </w:p>
        </w:tc>
      </w:tr>
      <w:tr>
        <w:trPr>
          <w:trHeight w:val="15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Lawrence Park</w:t>
            </w:r>
          </w:p>
        </w:tc>
        <w:tc>
          <w:tcPr>
            <w:tcW w:w="4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30,853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27,319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Northeast</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23,571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48"/>
        </w:trPr>
        <w:tc>
          <w:tcPr>
            <w:tcW w:w="13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Town Center of New</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14,473</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36,000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Giant Food</w:t>
            </w:r>
          </w:p>
        </w:tc>
        <w:tc>
          <w:tcPr>
            <w:tcW w:w="3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Rite Aid</w:t>
            </w:r>
          </w:p>
        </w:tc>
      </w:tr>
      <w:tr>
        <w:trPr>
          <w:trHeight w:val="176"/>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Britain</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r>
      <w:tr>
        <w:trPr>
          <w:trHeight w:val="173"/>
        </w:trPr>
        <w:tc>
          <w:tcPr>
            <w:tcW w:w="1340" w:type="dxa"/>
            <w:vAlign w:val="bottom"/>
            <w:gridSpan w:val="3"/>
          </w:tcPr>
          <w:p>
            <w:pPr>
              <w:ind w:left="20"/>
              <w:spacing w:after="0"/>
              <w:rPr>
                <w:sz w:val="20"/>
                <w:szCs w:val="20"/>
                <w:color w:val="auto"/>
              </w:rPr>
            </w:pPr>
            <w:r>
              <w:rPr>
                <w:rFonts w:ascii="Arial" w:cs="Arial" w:eastAsia="Arial" w:hAnsi="Arial"/>
                <w:sz w:val="13"/>
                <w:szCs w:val="13"/>
                <w:color w:val="auto"/>
              </w:rPr>
              <w:t>Willow Grove</w:t>
            </w:r>
          </w:p>
        </w:tc>
        <w:tc>
          <w:tcPr>
            <w:tcW w:w="44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28,871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173"/>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Wynnewood</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36,678</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27,841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Genuardi's</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266,450</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2,440,000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8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California</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80" w:type="dxa"/>
            <w:vAlign w:val="bottom"/>
            <w:tcBorders>
              <w:top w:val="single" w:sz="8" w:color="CCEEFF"/>
            </w:tcBorders>
            <w:shd w:val="clear" w:color="auto" w:fill="CCEEFF"/>
          </w:tcPr>
          <w:p>
            <w:pPr>
              <w:spacing w:after="0"/>
              <w:rPr>
                <w:sz w:val="8"/>
                <w:szCs w:val="8"/>
                <w:color w:val="auto"/>
              </w:rPr>
            </w:pPr>
          </w:p>
        </w:tc>
      </w:tr>
      <w:tr>
        <w:trPr>
          <w:trHeight w:val="148"/>
        </w:trPr>
        <w:tc>
          <w:tcPr>
            <w:tcW w:w="13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Colorado Blvd</w:t>
            </w:r>
          </w:p>
        </w:tc>
        <w:tc>
          <w:tcPr>
            <w:tcW w:w="44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color w:val="auto"/>
                <w:w w:val="92"/>
              </w:rPr>
              <w:t>Los Angeles-Long Beach,</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17,526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8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CA</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81"/>
        </w:trPr>
        <w:tc>
          <w:tcPr>
            <w:tcW w:w="13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Crow Canyon</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San Ramon, CA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70,145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19,721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Lucky</w:t>
            </w:r>
          </w:p>
        </w:tc>
        <w:tc>
          <w:tcPr>
            <w:tcW w:w="3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43"/>
        </w:trPr>
        <w:tc>
          <w:tcPr>
            <w:tcW w:w="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3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360"/>
          </w:cols>
          <w:pgMar w:left="280" w:top="747" w:right="259" w:bottom="757"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80" w:top="747" w:right="259" w:bottom="757"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440" w:type="dxa"/>
            <w:vAlign w:val="bottom"/>
          </w:tcPr>
          <w:p>
            <w:pPr>
              <w:spacing w:after="0"/>
              <w:rPr>
                <w:sz w:val="11"/>
                <w:szCs w:val="11"/>
                <w:color w:val="auto"/>
              </w:rPr>
            </w:pPr>
          </w:p>
        </w:tc>
      </w:tr>
      <w:tr>
        <w:trPr>
          <w:trHeight w:val="174"/>
        </w:trPr>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70"/>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Escondido</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1520" w:type="dxa"/>
            <w:vAlign w:val="bottom"/>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1996/2010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44,996</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w w:val="93"/>
              </w:rPr>
              <w:t>TJ Maxx / Toys R Us / Dick’s Sporting Goods / Ross Dress For</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Less</w:t>
            </w:r>
          </w:p>
        </w:tc>
      </w:tr>
      <w:tr>
        <w:trPr>
          <w:trHeight w:val="181"/>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Fifth Ave</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6,056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Urban Outfitters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Hermosa Ave</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5,499</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Hollywood Blvd</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37,836</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Fresh &amp; Easy</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L.A. Fitness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Kings Court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11,678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2"/>
              </w:rPr>
              <w:t>Super Market</w:t>
            </w:r>
          </w:p>
        </w:tc>
        <w:tc>
          <w:tcPr>
            <w:tcW w:w="3440" w:type="dxa"/>
            <w:vAlign w:val="bottom"/>
          </w:tcPr>
          <w:p>
            <w:pPr>
              <w:spacing w:after="0"/>
              <w:rPr>
                <w:sz w:val="14"/>
                <w:szCs w:val="14"/>
                <w:color w:val="auto"/>
              </w:rPr>
            </w:pPr>
          </w:p>
        </w:tc>
      </w:tr>
      <w:tr>
        <w:trPr>
          <w:trHeight w:val="181"/>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Old Town Center</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36,105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Plaza El Segundo</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4"/>
              </w:rPr>
              <w:t>(4)(6)</w:t>
            </w: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211,536</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175,000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w w:val="98"/>
              </w:rPr>
              <w:t>Anthropologie / Best Buy / Container Store / Dick's Sporting</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Santana Row</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592,422</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Crate &amp; Barrel / Container Store / Best Buy / CineArts Theatre /</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Hotel Valencia</w:t>
            </w: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Third St Promenade</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6"/>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1996-2000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78,742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w w:val="97"/>
              </w:rPr>
              <w:t>J. Crew / Banana Republic / Old Navy / Abercrombie &amp; Fitch</w:t>
            </w: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Westgate</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120,702</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Target / Burlington Coat Factory / Ross Dress For Less / Michaels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Nordstrom Rack</w:t>
            </w: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150 Post Street</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37,806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Brooks Brothers / H &amp; M</w:t>
            </w:r>
          </w:p>
        </w:tc>
      </w:tr>
      <w:tr>
        <w:trPr>
          <w:trHeight w:val="97"/>
        </w:trPr>
        <w:tc>
          <w:tcPr>
            <w:tcW w:w="2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5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4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1,271,049</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2,941,000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80" w:type="dxa"/>
            <w:vAlign w:val="bottom"/>
            <w:gridSpan w:val="4"/>
          </w:tcPr>
          <w:p>
            <w:pPr>
              <w:ind w:left="80"/>
              <w:spacing w:after="0"/>
              <w:rPr>
                <w:sz w:val="20"/>
                <w:szCs w:val="20"/>
                <w:color w:val="auto"/>
              </w:rPr>
            </w:pPr>
            <w:r>
              <w:rPr>
                <w:rFonts w:ascii="Arial" w:cs="Arial" w:eastAsia="Arial" w:hAnsi="Arial"/>
                <w:sz w:val="13"/>
                <w:szCs w:val="13"/>
                <w:b w:val="1"/>
                <w:bCs w:val="1"/>
                <w:color w:val="auto"/>
                <w:w w:val="90"/>
              </w:rPr>
              <w:t>New York / New Jersey</w:t>
            </w: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Brick Plaza</w:t>
            </w: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Monmouth-Ocean,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61,110</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28,401</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414,000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Forest Hills</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8,229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Midway Theatre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73"/>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Fresh Meadows</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76,840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Loews / Kohl's / Modell's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Hauppauge</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28,046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14,529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61,000</w:t>
            </w:r>
          </w:p>
        </w:tc>
        <w:tc>
          <w:tcPr>
            <w:tcW w:w="82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44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Huntington</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1988/2007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40,857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Bed, Bath &amp; Beyond / Michaels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Huntington Square</w:t>
            </w:r>
          </w:p>
        </w:tc>
        <w:tc>
          <w:tcPr>
            <w:tcW w:w="40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10,662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Melville Mall</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(8)</w:t>
            </w: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68,974</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21,936</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 / Kohl's / Marshalls</w:t>
            </w:r>
          </w:p>
        </w:tc>
      </w:tr>
      <w:tr>
        <w:trPr>
          <w:trHeight w:val="173"/>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Mercer Mall</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(3)</w:t>
            </w:r>
          </w:p>
        </w:tc>
        <w:tc>
          <w:tcPr>
            <w:tcW w:w="1520" w:type="dxa"/>
            <w:vAlign w:val="bottom"/>
          </w:tcPr>
          <w:p>
            <w:pPr>
              <w:ind w:left="60"/>
              <w:spacing w:after="0"/>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109,683</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55,867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500,000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440" w:type="dxa"/>
            <w:vAlign w:val="bottom"/>
          </w:tcPr>
          <w:p>
            <w:pPr>
              <w:ind w:left="40"/>
              <w:spacing w:after="0"/>
              <w:rPr>
                <w:sz w:val="20"/>
                <w:szCs w:val="20"/>
                <w:color w:val="auto"/>
              </w:rPr>
            </w:pPr>
            <w:r>
              <w:rPr>
                <w:rFonts w:ascii="Arial" w:cs="Arial" w:eastAsia="Arial" w:hAnsi="Arial"/>
                <w:sz w:val="13"/>
                <w:szCs w:val="13"/>
                <w:color w:val="auto"/>
                <w:w w:val="97"/>
              </w:rPr>
              <w:t>Bed, Bath &amp; Beyond / DSW / TJ Maxx / Raymour &amp; Flanigan</w:t>
            </w:r>
          </w:p>
        </w:tc>
      </w:tr>
      <w:tr>
        <w:trPr>
          <w:trHeight w:val="43"/>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1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Troy</w:t>
            </w:r>
          </w:p>
        </w:tc>
        <w:tc>
          <w:tcPr>
            <w:tcW w:w="4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29,149</w:t>
            </w:r>
          </w:p>
        </w:tc>
        <w:tc>
          <w:tcPr>
            <w:tcW w:w="6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Total New York / New</w:t>
            </w:r>
          </w:p>
        </w:tc>
        <w:tc>
          <w:tcPr>
            <w:tcW w:w="680" w:type="dxa"/>
            <w:vAlign w:val="bottom"/>
          </w:tcPr>
          <w:p>
            <w:pPr>
              <w:spacing w:after="0"/>
              <w:rPr>
                <w:sz w:val="11"/>
                <w:szCs w:val="11"/>
                <w:color w:val="auto"/>
              </w:rPr>
            </w:pPr>
          </w:p>
        </w:tc>
        <w:tc>
          <w:tcPr>
            <w:tcW w:w="7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433,550</w:t>
            </w:r>
          </w:p>
        </w:tc>
        <w:tc>
          <w:tcPr>
            <w:tcW w:w="660" w:type="dxa"/>
            <w:vAlign w:val="bottom"/>
          </w:tcPr>
          <w:p>
            <w:pPr>
              <w:spacing w:after="0"/>
              <w:rPr>
                <w:sz w:val="11"/>
                <w:szCs w:val="11"/>
                <w:color w:val="auto"/>
              </w:rPr>
            </w:pPr>
          </w:p>
        </w:tc>
        <w:tc>
          <w:tcPr>
            <w:tcW w:w="6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93"/>
              </w:rPr>
              <w:t>2,307,000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97%</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Jersey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4"/>
        </w:trPr>
        <w:tc>
          <w:tcPr>
            <w:tcW w:w="20" w:type="dxa"/>
            <w:vAlign w:val="bottom"/>
            <w:shd w:val="clear" w:color="auto" w:fill="CCEEFF"/>
          </w:tcPr>
          <w:p>
            <w:pPr>
              <w:spacing w:after="0"/>
              <w:rPr>
                <w:sz w:val="13"/>
                <w:szCs w:val="13"/>
                <w:color w:val="auto"/>
              </w:rPr>
            </w:pPr>
          </w:p>
        </w:tc>
        <w:tc>
          <w:tcPr>
            <w:tcW w:w="138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New England</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Assembly Square</w:t>
            </w:r>
          </w:p>
        </w:tc>
        <w:tc>
          <w:tcPr>
            <w:tcW w:w="400" w:type="dxa"/>
            <w:vAlign w:val="bottom"/>
          </w:tcPr>
          <w:p>
            <w:pPr>
              <w:spacing w:after="0"/>
              <w:rPr>
                <w:sz w:val="12"/>
                <w:szCs w:val="12"/>
                <w:color w:val="auto"/>
              </w:rPr>
            </w:pPr>
          </w:p>
        </w:tc>
        <w:tc>
          <w:tcPr>
            <w:tcW w:w="220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2"/>
              </w:rPr>
              <w:t>Boston-Cambridge-Quincy,   2005-2011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242,450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w w:val="90"/>
              </w:rPr>
              <w:t>AC Moore / Bed, Bath &amp; Beyond / Christmas Tree Shops / Kmart</w:t>
            </w:r>
          </w:p>
        </w:tc>
      </w:tr>
      <w:tr>
        <w:trPr>
          <w:trHeight w:val="135"/>
        </w:trPr>
        <w:tc>
          <w:tcPr>
            <w:tcW w:w="1400" w:type="dxa"/>
            <w:vAlign w:val="bottom"/>
            <w:gridSpan w:val="5"/>
          </w:tcPr>
          <w:p>
            <w:pPr>
              <w:ind w:left="20"/>
              <w:spacing w:after="0" w:line="135" w:lineRule="exact"/>
              <w:rPr>
                <w:sz w:val="20"/>
                <w:szCs w:val="20"/>
                <w:color w:val="auto"/>
              </w:rPr>
            </w:pPr>
            <w:r>
              <w:rPr>
                <w:rFonts w:ascii="Arial" w:cs="Arial" w:eastAsia="Arial" w:hAnsi="Arial"/>
                <w:sz w:val="13"/>
                <w:szCs w:val="13"/>
                <w:color w:val="auto"/>
              </w:rPr>
              <w:t>Marketplace/Assembly</w:t>
            </w:r>
          </w:p>
        </w:tc>
        <w:tc>
          <w:tcPr>
            <w:tcW w:w="400" w:type="dxa"/>
            <w:vAlign w:val="bottom"/>
          </w:tcPr>
          <w:p>
            <w:pPr>
              <w:spacing w:after="0"/>
              <w:rPr>
                <w:sz w:val="11"/>
                <w:szCs w:val="11"/>
                <w:color w:val="auto"/>
              </w:rPr>
            </w:pPr>
          </w:p>
        </w:tc>
        <w:tc>
          <w:tcPr>
            <w:tcW w:w="1520" w:type="dxa"/>
            <w:vAlign w:val="bottom"/>
          </w:tcPr>
          <w:p>
            <w:pPr>
              <w:ind w:left="60"/>
              <w:spacing w:after="0" w:line="135" w:lineRule="exact"/>
              <w:rPr>
                <w:sz w:val="20"/>
                <w:szCs w:val="20"/>
                <w:color w:val="auto"/>
              </w:rPr>
            </w:pPr>
            <w:r>
              <w:rPr>
                <w:rFonts w:ascii="Arial" w:cs="Arial" w:eastAsia="Arial" w:hAnsi="Arial"/>
                <w:sz w:val="13"/>
                <w:szCs w:val="13"/>
                <w:color w:val="auto"/>
              </w:rPr>
              <w:t>MA-NH</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40" w:type="dxa"/>
            <w:vAlign w:val="bottom"/>
          </w:tcPr>
          <w:p>
            <w:pPr>
              <w:ind w:left="40"/>
              <w:spacing w:after="0" w:line="135" w:lineRule="exact"/>
              <w:rPr>
                <w:sz w:val="20"/>
                <w:szCs w:val="20"/>
                <w:color w:val="auto"/>
              </w:rPr>
            </w:pPr>
            <w:r>
              <w:rPr>
                <w:rFonts w:ascii="Arial" w:cs="Arial" w:eastAsia="Arial" w:hAnsi="Arial"/>
                <w:sz w:val="13"/>
                <w:szCs w:val="13"/>
                <w:color w:val="auto"/>
              </w:rPr>
              <w:t>/ Staples / Sports Authority / TJ Maxx</w:t>
            </w:r>
          </w:p>
        </w:tc>
      </w:tr>
      <w:tr>
        <w:trPr>
          <w:trHeight w:val="168"/>
        </w:trPr>
        <w:tc>
          <w:tcPr>
            <w:tcW w:w="1400" w:type="dxa"/>
            <w:vAlign w:val="bottom"/>
            <w:gridSpan w:val="5"/>
          </w:tcPr>
          <w:p>
            <w:pPr>
              <w:ind w:left="20"/>
              <w:spacing w:after="0"/>
              <w:rPr>
                <w:sz w:val="20"/>
                <w:szCs w:val="20"/>
                <w:color w:val="auto"/>
              </w:rPr>
            </w:pPr>
            <w:r>
              <w:rPr>
                <w:rFonts w:ascii="Arial" w:cs="Arial" w:eastAsia="Arial" w:hAnsi="Arial"/>
                <w:sz w:val="13"/>
                <w:szCs w:val="13"/>
                <w:color w:val="auto"/>
              </w:rPr>
              <w:t>Row</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Chelsea Commons</w:t>
            </w:r>
          </w:p>
        </w:tc>
        <w:tc>
          <w:tcPr>
            <w:tcW w:w="40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2"/>
              </w:rPr>
              <w:t>Boston-Cambridge-Quincy,   2006-2008</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30,405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7,541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Dedham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33,493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80,000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34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Linden Square</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146,473</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North Dartmouth</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9,368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48,000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34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Queen Anne Plaza</w:t>
            </w: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15,748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Hannaford</w:t>
            </w: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HomeGoods</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Saugus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w w:val="91"/>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14,641</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3440" w:type="dxa"/>
            <w:vAlign w:val="bottom"/>
            <w:tcBorders>
              <w:bottom w:val="single" w:sz="8" w:color="CCEEFF"/>
            </w:tcBorders>
          </w:tcPr>
          <w:p>
            <w:pPr>
              <w:spacing w:after="0"/>
              <w:rPr>
                <w:sz w:val="14"/>
                <w:szCs w:val="14"/>
                <w:color w:val="auto"/>
              </w:rPr>
            </w:pPr>
          </w:p>
        </w:tc>
      </w:tr>
      <w:tr>
        <w:trPr>
          <w:trHeight w:val="173"/>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492,578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1,388,000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80" w:type="dxa"/>
            <w:vAlign w:val="bottom"/>
            <w:gridSpan w:val="4"/>
          </w:tcPr>
          <w:p>
            <w:pPr>
              <w:ind w:left="80"/>
              <w:spacing w:after="0"/>
              <w:rPr>
                <w:sz w:val="20"/>
                <w:szCs w:val="20"/>
                <w:color w:val="auto"/>
              </w:rPr>
            </w:pPr>
            <w:r>
              <w:rPr>
                <w:rFonts w:ascii="Arial" w:cs="Arial" w:eastAsia="Arial" w:hAnsi="Arial"/>
                <w:sz w:val="13"/>
                <w:szCs w:val="13"/>
                <w:b w:val="1"/>
                <w:bCs w:val="1"/>
                <w:color w:val="auto"/>
              </w:rPr>
              <w:t>Baltimore</w:t>
            </w: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Governor Plaza</w:t>
            </w: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26,494</w:t>
            </w: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 / Dick’s Sporting Goods</w:t>
            </w:r>
          </w:p>
        </w:tc>
      </w:tr>
      <w:tr>
        <w:trPr>
          <w:trHeight w:val="148"/>
        </w:trPr>
        <w:tc>
          <w:tcPr>
            <w:tcW w:w="140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tcPr>
          <w:p>
            <w:pPr>
              <w:spacing w:after="0"/>
              <w:rPr>
                <w:sz w:val="12"/>
                <w:szCs w:val="12"/>
                <w:color w:val="auto"/>
              </w:rPr>
            </w:pPr>
          </w:p>
        </w:tc>
        <w:tc>
          <w:tcPr>
            <w:tcW w:w="1520" w:type="dxa"/>
            <w:vAlign w:val="bottom"/>
          </w:tcPr>
          <w:p>
            <w:pPr>
              <w:ind w:left="6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28,147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440" w:type="dxa"/>
            <w:vAlign w:val="bottom"/>
          </w:tcPr>
          <w:p>
            <w:pPr>
              <w:ind w:left="40"/>
              <w:spacing w:after="0" w:line="148" w:lineRule="exact"/>
              <w:rPr>
                <w:sz w:val="20"/>
                <w:szCs w:val="20"/>
                <w:color w:val="auto"/>
              </w:rPr>
            </w:pPr>
            <w:r>
              <w:rPr>
                <w:rFonts w:ascii="Arial" w:cs="Arial" w:eastAsia="Arial" w:hAnsi="Arial"/>
                <w:sz w:val="13"/>
                <w:szCs w:val="13"/>
                <w:color w:val="auto"/>
              </w:rPr>
              <w:t>Home Depot / Burlington Coat Factory / Jo-Ann Stores</w:t>
            </w: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44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440" w:type="dxa"/>
            <w:vAlign w:val="bottom"/>
          </w:tcPr>
          <w:p>
            <w:pPr>
              <w:spacing w:after="0"/>
              <w:rPr>
                <w:sz w:val="14"/>
                <w:szCs w:val="14"/>
                <w:color w:val="auto"/>
              </w:rPr>
            </w:pPr>
          </w:p>
        </w:tc>
      </w:tr>
      <w:tr>
        <w:trPr>
          <w:trHeight w:val="15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THE AVENUE at White</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96,508</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55,978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140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Marsh</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360"/>
          </w:cols>
          <w:pgMar w:left="280" w:top="747" w:right="25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80" w:top="747" w:right="25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6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440" w:type="dxa"/>
            <w:vAlign w:val="bottom"/>
          </w:tcPr>
          <w:p>
            <w:pPr>
              <w:spacing w:after="0"/>
              <w:rPr>
                <w:sz w:val="11"/>
                <w:szCs w:val="11"/>
                <w:color w:val="auto"/>
              </w:rPr>
            </w:pPr>
          </w:p>
        </w:tc>
      </w:tr>
      <w:tr>
        <w:trPr>
          <w:trHeight w:val="174"/>
        </w:trPr>
        <w:tc>
          <w:tcPr>
            <w:tcW w:w="13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40" w:type="dxa"/>
            <w:vAlign w:val="bottom"/>
          </w:tcPr>
          <w:p>
            <w:pPr>
              <w:spacing w:after="0"/>
              <w:rPr>
                <w:sz w:val="11"/>
                <w:szCs w:val="11"/>
                <w:color w:val="auto"/>
              </w:rPr>
            </w:pPr>
          </w:p>
        </w:tc>
      </w:tr>
      <w:tr>
        <w:trPr>
          <w:trHeight w:val="170"/>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The Shoppes at</w:t>
            </w:r>
          </w:p>
        </w:tc>
        <w:tc>
          <w:tcPr>
            <w:tcW w:w="190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17,326</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32,000</w:t>
            </w:r>
          </w:p>
        </w:tc>
        <w:tc>
          <w:tcPr>
            <w:tcW w:w="54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8"/>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Nottingham Square</w:t>
            </w: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81"/>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White Marsh Plaza</w:t>
            </w: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25,030</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9,129</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44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White Marsh Other</w:t>
            </w:r>
          </w:p>
        </w:tc>
        <w:tc>
          <w:tcPr>
            <w:tcW w:w="190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36,190</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19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34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229,695</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1,141,000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Chicago</w:t>
            </w: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73"/>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Crossroads</w:t>
            </w: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30,881</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Finley Square</w:t>
            </w:r>
          </w:p>
        </w:tc>
        <w:tc>
          <w:tcPr>
            <w:tcW w:w="1900" w:type="dxa"/>
            <w:vAlign w:val="bottom"/>
          </w:tcPr>
          <w:p>
            <w:pPr>
              <w:ind w:left="48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32,484</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315,000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96"/>
        </w:trPr>
        <w:tc>
          <w:tcPr>
            <w:tcW w:w="1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Garden Market</w:t>
            </w:r>
          </w:p>
        </w:tc>
        <w:tc>
          <w:tcPr>
            <w:tcW w:w="1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Chicago, IL</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12,413</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63,000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173"/>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North Lake Commons</w:t>
            </w:r>
          </w:p>
        </w:tc>
        <w:tc>
          <w:tcPr>
            <w:tcW w:w="1900" w:type="dxa"/>
            <w:vAlign w:val="bottom"/>
          </w:tcPr>
          <w:p>
            <w:pPr>
              <w:ind w:left="48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14,204</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77,000</w:t>
            </w:r>
          </w:p>
        </w:tc>
        <w:tc>
          <w:tcPr>
            <w:tcW w:w="80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44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19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34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89,982</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South Florida</w:t>
            </w: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173"/>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Courtyard Shops</w:t>
            </w: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40,116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49,000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44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Del Mar Village</w:t>
            </w:r>
          </w:p>
        </w:tc>
        <w:tc>
          <w:tcPr>
            <w:tcW w:w="1900" w:type="dxa"/>
            <w:vAlign w:val="bottom"/>
          </w:tcPr>
          <w:p>
            <w:pPr>
              <w:ind w:left="48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55,655</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179,000</w:t>
            </w:r>
          </w:p>
        </w:tc>
        <w:tc>
          <w:tcPr>
            <w:tcW w:w="54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44,000</w:t>
            </w:r>
          </w:p>
        </w:tc>
        <w:tc>
          <w:tcPr>
            <w:tcW w:w="80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44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Tower Shops</w:t>
            </w: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73,181</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Best Buy / DSW / Old Navy / Ross Dress For Less / TJ Maxx</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ind w:left="48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168,952</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677,000</w:t>
            </w:r>
          </w:p>
        </w:tc>
        <w:tc>
          <w:tcPr>
            <w:tcW w:w="54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40" w:type="dxa"/>
            <w:vAlign w:val="bottom"/>
          </w:tcPr>
          <w:p>
            <w:pPr>
              <w:spacing w:after="0"/>
              <w:rPr>
                <w:sz w:val="7"/>
                <w:szCs w:val="7"/>
                <w:color w:val="auto"/>
              </w:rPr>
            </w:pPr>
          </w:p>
        </w:tc>
      </w:tr>
      <w:tr>
        <w:trPr>
          <w:trHeight w:val="149"/>
        </w:trPr>
        <w:tc>
          <w:tcPr>
            <w:tcW w:w="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ind w:left="80"/>
              <w:spacing w:after="0"/>
              <w:rPr>
                <w:sz w:val="20"/>
                <w:szCs w:val="20"/>
                <w:color w:val="auto"/>
              </w:rPr>
            </w:pPr>
            <w:r>
              <w:rPr>
                <w:rFonts w:ascii="Arial" w:cs="Arial" w:eastAsia="Arial" w:hAnsi="Arial"/>
                <w:sz w:val="13"/>
                <w:szCs w:val="13"/>
                <w:b w:val="1"/>
                <w:bCs w:val="1"/>
                <w:color w:val="auto"/>
              </w:rPr>
              <w:t>Other</w:t>
            </w:r>
          </w:p>
        </w:tc>
        <w:tc>
          <w:tcPr>
            <w:tcW w:w="1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tcBorders>
            <w:shd w:val="clear" w:color="auto" w:fill="CCEEFF"/>
          </w:tcPr>
          <w:p>
            <w:pPr>
              <w:spacing w:after="0"/>
              <w:rPr>
                <w:sz w:val="8"/>
                <w:szCs w:val="8"/>
                <w:color w:val="auto"/>
              </w:rPr>
            </w:pPr>
          </w:p>
        </w:tc>
      </w:tr>
      <w:tr>
        <w:trPr>
          <w:trHeight w:val="148"/>
        </w:trPr>
        <w:tc>
          <w:tcPr>
            <w:tcW w:w="132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Barracks Road</w:t>
            </w:r>
          </w:p>
        </w:tc>
        <w:tc>
          <w:tcPr>
            <w:tcW w:w="1900" w:type="dxa"/>
            <w:vAlign w:val="bottom"/>
          </w:tcPr>
          <w:p>
            <w:pPr>
              <w:ind w:left="48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54,803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38,542</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99,000</w:t>
            </w:r>
          </w:p>
        </w:tc>
        <w:tc>
          <w:tcPr>
            <w:tcW w:w="42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6"/>
              </w:rPr>
              <w:t>Harris Teeter / Anthropologie / Bed, Bath &amp; Beyond / Barnes &amp; Noble / Old</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344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204"/>
        </w:trPr>
        <w:tc>
          <w:tcPr>
            <w:tcW w:w="1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Bristol Plaza</w:t>
            </w:r>
          </w:p>
        </w:tc>
        <w:tc>
          <w:tcPr>
            <w:tcW w:w="1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Hartford, CT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28,231</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74,000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5"/>
              </w:rPr>
              <w:t>Stop &amp; Shop</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148"/>
        </w:trPr>
        <w:tc>
          <w:tcPr>
            <w:tcW w:w="132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Eastgate</w:t>
            </w:r>
          </w:p>
        </w:tc>
        <w:tc>
          <w:tcPr>
            <w:tcW w:w="1900" w:type="dxa"/>
            <w:vAlign w:val="bottom"/>
          </w:tcPr>
          <w:p>
            <w:pPr>
              <w:ind w:left="480"/>
              <w:spacing w:after="0" w:line="148" w:lineRule="exact"/>
              <w:rPr>
                <w:sz w:val="20"/>
                <w:szCs w:val="20"/>
                <w:color w:val="auto"/>
              </w:rPr>
            </w:pPr>
            <w:r>
              <w:rPr>
                <w:rFonts w:ascii="Arial" w:cs="Arial" w:eastAsia="Arial" w:hAnsi="Arial"/>
                <w:sz w:val="13"/>
                <w:szCs w:val="13"/>
                <w:color w:val="auto"/>
                <w:w w:val="99"/>
              </w:rPr>
              <w:t>Raleigh-Durham-Chapel</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26,575</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ind w:left="480"/>
              <w:spacing w:after="0"/>
              <w:rPr>
                <w:sz w:val="20"/>
                <w:szCs w:val="20"/>
                <w:color w:val="auto"/>
              </w:rPr>
            </w:pPr>
            <w:r>
              <w:rPr>
                <w:rFonts w:ascii="Arial" w:cs="Arial" w:eastAsia="Arial" w:hAnsi="Arial"/>
                <w:sz w:val="13"/>
                <w:szCs w:val="13"/>
                <w:color w:val="auto"/>
              </w:rPr>
              <w:t>Hill, NC</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04"/>
        </w:trPr>
        <w:tc>
          <w:tcPr>
            <w:tcW w:w="1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Gratiot Plaza</w:t>
            </w:r>
          </w:p>
        </w:tc>
        <w:tc>
          <w:tcPr>
            <w:tcW w:w="1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Detroit, MI</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19,004</w:t>
            </w: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69,000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148"/>
        </w:trPr>
        <w:tc>
          <w:tcPr>
            <w:tcW w:w="132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Greenwich Avenue</w:t>
            </w:r>
          </w:p>
        </w:tc>
        <w:tc>
          <w:tcPr>
            <w:tcW w:w="1900" w:type="dxa"/>
            <w:vAlign w:val="bottom"/>
          </w:tcPr>
          <w:p>
            <w:pPr>
              <w:ind w:left="480"/>
              <w:spacing w:after="0" w:line="148" w:lineRule="exact"/>
              <w:rPr>
                <w:sz w:val="20"/>
                <w:szCs w:val="20"/>
                <w:color w:val="auto"/>
              </w:rPr>
            </w:pPr>
            <w:r>
              <w:rPr>
                <w:rFonts w:ascii="Arial" w:cs="Arial" w:eastAsia="Arial" w:hAnsi="Arial"/>
                <w:sz w:val="13"/>
                <w:szCs w:val="13"/>
                <w:color w:val="auto"/>
              </w:rPr>
              <w:t>New Haven-Bridgeport-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13,970</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4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ind w:left="480"/>
              <w:spacing w:after="0"/>
              <w:rPr>
                <w:sz w:val="20"/>
                <w:szCs w:val="20"/>
                <w:color w:val="auto"/>
              </w:rPr>
            </w:pPr>
            <w:r>
              <w:rPr>
                <w:rFonts w:ascii="Arial" w:cs="Arial" w:eastAsia="Arial" w:hAnsi="Arial"/>
                <w:sz w:val="13"/>
                <w:szCs w:val="13"/>
                <w:color w:val="auto"/>
              </w:rPr>
              <w:t>Stamford-Waterbury</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81"/>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Houston St</w:t>
            </w: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San Antonio, TX</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65,641</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183,000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Lancaster</w:t>
            </w:r>
          </w:p>
        </w:tc>
        <w:tc>
          <w:tcPr>
            <w:tcW w:w="1900" w:type="dxa"/>
            <w:vAlign w:val="bottom"/>
          </w:tcPr>
          <w:p>
            <w:pPr>
              <w:ind w:left="160"/>
              <w:spacing w:after="0"/>
              <w:rPr>
                <w:sz w:val="20"/>
                <w:szCs w:val="20"/>
                <w:color w:val="auto"/>
              </w:rPr>
            </w:pPr>
            <w:r>
              <w:rPr>
                <w:rFonts w:ascii="Arial" w:cs="Arial" w:eastAsia="Arial" w:hAnsi="Arial"/>
                <w:sz w:val="13"/>
                <w:szCs w:val="13"/>
                <w:color w:val="auto"/>
              </w:rPr>
              <w:t>(7)   Lancaster, PA</w:t>
            </w:r>
          </w:p>
        </w:tc>
        <w:tc>
          <w:tcPr>
            <w:tcW w:w="700" w:type="dxa"/>
            <w:vAlign w:val="bottom"/>
          </w:tcPr>
          <w:p>
            <w:pPr>
              <w:jc w:val="right"/>
              <w:spacing w:after="0"/>
              <w:rPr>
                <w:sz w:val="20"/>
                <w:szCs w:val="20"/>
                <w:color w:val="auto"/>
              </w:rPr>
            </w:pPr>
            <w:r>
              <w:rPr>
                <w:rFonts w:ascii="Arial" w:cs="Arial" w:eastAsia="Arial" w:hAnsi="Arial"/>
                <w:sz w:val="13"/>
                <w:szCs w:val="13"/>
                <w:color w:val="auto"/>
              </w:rPr>
              <w:t>1980</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12,889</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4,907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44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43"/>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173"/>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Shoppers' World</w:t>
            </w: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32,905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5,366</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Staples</w:t>
            </w:r>
          </w:p>
        </w:tc>
      </w:tr>
      <w:tr>
        <w:trPr>
          <w:trHeight w:val="97"/>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40" w:type="dxa"/>
            <w:vAlign w:val="bottom"/>
            <w:shd w:val="clear" w:color="auto" w:fill="CCEEFF"/>
          </w:tcPr>
          <w:p>
            <w:pPr>
              <w:spacing w:after="0"/>
              <w:rPr>
                <w:sz w:val="8"/>
                <w:szCs w:val="8"/>
                <w:color w:val="auto"/>
              </w:rPr>
            </w:pPr>
          </w:p>
        </w:tc>
      </w:tr>
      <w:tr>
        <w:trPr>
          <w:trHeight w:val="173"/>
        </w:trPr>
        <w:tc>
          <w:tcPr>
            <w:tcW w:w="1320" w:type="dxa"/>
            <w:vAlign w:val="bottom"/>
            <w:gridSpan w:val="5"/>
          </w:tcPr>
          <w:p>
            <w:pPr>
              <w:ind w:left="20"/>
              <w:spacing w:after="0"/>
              <w:rPr>
                <w:sz w:val="20"/>
                <w:szCs w:val="20"/>
                <w:color w:val="auto"/>
              </w:rPr>
            </w:pPr>
            <w:r>
              <w:rPr>
                <w:rFonts w:ascii="Arial" w:cs="Arial" w:eastAsia="Arial" w:hAnsi="Arial"/>
                <w:sz w:val="13"/>
                <w:szCs w:val="13"/>
                <w:color w:val="auto"/>
              </w:rPr>
              <w:t>Shops at Willow Lawn</w:t>
            </w:r>
          </w:p>
        </w:tc>
        <w:tc>
          <w:tcPr>
            <w:tcW w:w="1900" w:type="dxa"/>
            <w:vAlign w:val="bottom"/>
          </w:tcPr>
          <w:p>
            <w:pPr>
              <w:ind w:left="480"/>
              <w:spacing w:after="0"/>
              <w:rPr>
                <w:sz w:val="20"/>
                <w:szCs w:val="20"/>
                <w:color w:val="auto"/>
              </w:rPr>
            </w:pPr>
            <w:r>
              <w:rPr>
                <w:rFonts w:ascii="Arial" w:cs="Arial" w:eastAsia="Arial" w:hAnsi="Arial"/>
                <w:sz w:val="13"/>
                <w:szCs w:val="13"/>
                <w:color w:val="auto"/>
                <w:w w:val="92"/>
              </w:rPr>
              <w:t>Richmond-Petersburg, VA</w:t>
            </w:r>
          </w:p>
        </w:tc>
        <w:tc>
          <w:tcPr>
            <w:tcW w:w="700" w:type="dxa"/>
            <w:vAlign w:val="bottom"/>
          </w:tcPr>
          <w:p>
            <w:pPr>
              <w:jc w:val="right"/>
              <w:spacing w:after="0"/>
              <w:rPr>
                <w:sz w:val="20"/>
                <w:szCs w:val="20"/>
                <w:color w:val="auto"/>
              </w:rPr>
            </w:pPr>
            <w:r>
              <w:rPr>
                <w:rFonts w:ascii="Arial" w:cs="Arial" w:eastAsia="Arial" w:hAnsi="Arial"/>
                <w:sz w:val="13"/>
                <w:szCs w:val="13"/>
                <w:color w:val="auto"/>
              </w:rPr>
              <w:t>1983</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79,402</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440,000</w:t>
            </w:r>
          </w:p>
        </w:tc>
        <w:tc>
          <w:tcPr>
            <w:tcW w:w="54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66,000</w:t>
            </w: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3440" w:type="dxa"/>
            <w:vAlign w:val="bottom"/>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43"/>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3440" w:type="dxa"/>
            <w:vAlign w:val="bottom"/>
            <w:tcBorders>
              <w:bottom w:val="single" w:sz="8" w:color="CCEEFF"/>
            </w:tcBorders>
          </w:tcPr>
          <w:p>
            <w:pPr>
              <w:spacing w:after="0"/>
              <w:rPr>
                <w:sz w:val="3"/>
                <w:szCs w:val="3"/>
                <w:color w:val="auto"/>
              </w:rPr>
            </w:pPr>
          </w:p>
        </w:tc>
      </w:tr>
      <w:tr>
        <w:trPr>
          <w:trHeight w:val="167"/>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90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Total Other</w:t>
            </w: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333,420</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2,079,000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r>
      <w:tr>
        <w:trPr>
          <w:trHeight w:val="167"/>
        </w:trPr>
        <w:tc>
          <w:tcPr>
            <w:tcW w:w="1320" w:type="dxa"/>
            <w:vAlign w:val="bottom"/>
            <w:gridSpan w:val="5"/>
            <w:shd w:val="clear" w:color="auto" w:fill="CCEEFF"/>
          </w:tcPr>
          <w:p>
            <w:pPr>
              <w:ind w:left="20"/>
              <w:spacing w:after="0"/>
              <w:rPr>
                <w:sz w:val="20"/>
                <w:szCs w:val="20"/>
                <w:color w:val="auto"/>
              </w:rPr>
            </w:pPr>
            <w:r>
              <w:rPr>
                <w:rFonts w:ascii="Arial" w:cs="Arial" w:eastAsia="Arial" w:hAnsi="Arial"/>
                <w:sz w:val="13"/>
                <w:szCs w:val="13"/>
                <w:b w:val="1"/>
                <w:bCs w:val="1"/>
                <w:color w:val="auto"/>
              </w:rPr>
              <w:t>Grand Total</w:t>
            </w:r>
          </w:p>
        </w:tc>
        <w:tc>
          <w:tcPr>
            <w:tcW w:w="1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7"/>
              </w:rPr>
              <w:t>$ 4,476,252</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89"/>
              </w:rPr>
              <w:t>$ 796,437</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6"/>
              </w:rPr>
              <w:t>19,176,000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97"/>
        </w:trPr>
        <w:tc>
          <w:tcPr>
            <w:tcW w:w="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9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3440" w:type="dxa"/>
            <w:vAlign w:val="bottom"/>
            <w:tcBorders>
              <w:bottom w:val="single" w:sz="8" w:color="auto"/>
            </w:tcBorders>
            <w:shd w:val="clear" w:color="auto" w:fill="CCEEFF"/>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60" w:hanging="1331"/>
        <w:spacing w:after="0"/>
        <w:tabs>
          <w:tab w:leader="none" w:pos="13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360" w:hanging="1331"/>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60" w:hanging="1331"/>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39" w:lineRule="exact"/>
        <w:rPr>
          <w:rFonts w:ascii="Arial" w:cs="Arial" w:eastAsia="Arial" w:hAnsi="Arial"/>
          <w:sz w:val="13"/>
          <w:szCs w:val="13"/>
          <w:color w:val="auto"/>
        </w:rPr>
      </w:pPr>
    </w:p>
    <w:p>
      <w:pPr>
        <w:ind w:left="1360" w:hanging="1331"/>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60" w:right="540" w:hanging="1331"/>
        <w:spacing w:after="0" w:line="237" w:lineRule="auto"/>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60" w:hanging="1331"/>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a 100% owned, 8.1 acre land parcel to be used for future development.</w:t>
      </w:r>
    </w:p>
    <w:p>
      <w:pPr>
        <w:spacing w:after="0" w:line="39" w:lineRule="exact"/>
        <w:rPr>
          <w:rFonts w:ascii="Arial" w:cs="Arial" w:eastAsia="Arial" w:hAnsi="Arial"/>
          <w:sz w:val="13"/>
          <w:szCs w:val="13"/>
          <w:color w:val="auto"/>
        </w:rPr>
      </w:pPr>
    </w:p>
    <w:p>
      <w:pPr>
        <w:ind w:left="1360" w:hanging="1331"/>
        <w:spacing w:after="0"/>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39" w:lineRule="exact"/>
        <w:rPr>
          <w:rFonts w:ascii="Arial" w:cs="Arial" w:eastAsia="Arial" w:hAnsi="Arial"/>
          <w:sz w:val="13"/>
          <w:szCs w:val="13"/>
          <w:color w:val="auto"/>
        </w:rPr>
      </w:pPr>
    </w:p>
    <w:p>
      <w:pPr>
        <w:ind w:left="1360" w:right="220" w:hanging="1331"/>
        <w:spacing w:after="0" w:line="237" w:lineRule="auto"/>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747" w:right="25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2012</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2012</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355,527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36.08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96"/>
              </w:rPr>
              <w:t>1,222,494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5,296,003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14.90</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461,088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31.66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27.15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w w:val="96"/>
              </w:rPr>
              <w:t>2,081,753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12,603,460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27.33</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231,394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29.80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697,168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1,641,570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7.09</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353,309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31.62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29.24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841,354</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3,932,532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11.13</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1,401,318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29.51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6"/>
              </w:rPr>
              <w:t>4,842,769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23,473,565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16.75</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960" w:type="dxa"/>
            <w:vAlign w:val="bottom"/>
            <w:gridSpan w:val="6"/>
          </w:tcPr>
          <w:p>
            <w:pPr>
              <w:spacing w:after="0"/>
              <w:rPr>
                <w:sz w:val="20"/>
                <w:szCs w:val="20"/>
                <w:color w:val="auto"/>
              </w:rPr>
            </w:pPr>
            <w:r>
              <w:rPr>
                <w:rFonts w:ascii="Arial" w:cs="Arial" w:eastAsia="Arial" w:hAnsi="Arial"/>
                <w:sz w:val="14"/>
                <w:szCs w:val="14"/>
                <w:b w:val="1"/>
                <w:bCs w:val="1"/>
                <w:color w:val="auto"/>
              </w:rPr>
              <w:t>New Lease Summary - Comparable (2)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2012</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194,503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825,333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5,076,993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26.10</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224,338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34.23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w w:val="96"/>
              </w:rPr>
              <w:t>1,824,154</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10,880,880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48.50</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91,350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318,442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1,601,990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17.54</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161,822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24.50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24.22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45,490</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3,846,699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23.77</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672,013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6"/>
              </w:rPr>
              <w:t>3,013,419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21,406,562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31.85</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960" w:type="dxa"/>
            <w:vAlign w:val="bottom"/>
            <w:gridSpan w:val="6"/>
          </w:tcPr>
          <w:p>
            <w:pPr>
              <w:spacing w:after="0"/>
              <w:rPr>
                <w:sz w:val="20"/>
                <w:szCs w:val="20"/>
                <w:color w:val="auto"/>
              </w:rPr>
            </w:pPr>
            <w:r>
              <w:rPr>
                <w:rFonts w:ascii="Arial" w:cs="Arial" w:eastAsia="Arial" w:hAnsi="Arial"/>
                <w:sz w:val="14"/>
                <w:szCs w:val="14"/>
                <w:b w:val="1"/>
                <w:bCs w:val="1"/>
                <w:color w:val="auto"/>
                <w:w w:val="96"/>
              </w:rPr>
              <w:t>Renewal Lease Summary - Comparable (2) (7)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2012</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161,024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39.69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397,161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219,010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1.36</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1st Quarter 2012</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236,750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29.23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257,599</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1,722,580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7.28</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140,044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378,726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39,580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0.28</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191,487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37.64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795,864</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85,833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0.45</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729,305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6"/>
              </w:rPr>
              <w:t>1,829,350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2,067,003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and Non-comparable (including deals signed for development projects) (2) (8)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right"/>
              <w:ind w:right="3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1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860" w:type="dxa"/>
            <w:vAlign w:val="bottom"/>
            <w:gridSpan w:val="2"/>
          </w:tcPr>
          <w:p>
            <w:pPr>
              <w:ind w:left="380"/>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800" w:type="dxa"/>
            <w:vAlign w:val="bottom"/>
            <w:gridSpan w:val="2"/>
          </w:tcPr>
          <w:p>
            <w:pPr>
              <w:ind w:left="5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4860" w:type="dxa"/>
            <w:vAlign w:val="bottom"/>
            <w:gridSpan w:val="2"/>
            <w:shd w:val="clear" w:color="auto" w:fill="CCEEFF"/>
          </w:tcPr>
          <w:p>
            <w:pPr>
              <w:jc w:val="right"/>
              <w:ind w:right="3740"/>
              <w:spacing w:after="0"/>
              <w:rPr>
                <w:sz w:val="20"/>
                <w:szCs w:val="20"/>
                <w:color w:val="auto"/>
              </w:rPr>
            </w:pPr>
            <w:r>
              <w:rPr>
                <w:rFonts w:ascii="Arial" w:cs="Arial" w:eastAsia="Arial" w:hAnsi="Arial"/>
                <w:sz w:val="14"/>
                <w:szCs w:val="14"/>
                <w:color w:val="auto"/>
              </w:rPr>
              <w:t>2nd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368,795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36.47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6,058,163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16.43</w:t>
            </w:r>
          </w:p>
        </w:tc>
      </w:tr>
      <w:tr>
        <w:trPr>
          <w:trHeight w:val="264"/>
        </w:trPr>
        <w:tc>
          <w:tcPr>
            <w:tcW w:w="4860" w:type="dxa"/>
            <w:vAlign w:val="bottom"/>
            <w:gridSpan w:val="2"/>
          </w:tcPr>
          <w:p>
            <w:pPr>
              <w:jc w:val="right"/>
              <w:ind w:right="3740"/>
              <w:spacing w:after="0"/>
              <w:rPr>
                <w:sz w:val="20"/>
                <w:szCs w:val="20"/>
                <w:color w:val="auto"/>
              </w:rPr>
            </w:pPr>
            <w:r>
              <w:rPr>
                <w:rFonts w:ascii="Arial" w:cs="Arial" w:eastAsia="Arial" w:hAnsi="Arial"/>
                <w:sz w:val="14"/>
                <w:szCs w:val="14"/>
                <w:color w:val="auto"/>
              </w:rPr>
              <w:t>1st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680" w:type="dxa"/>
            <w:vAlign w:val="bottom"/>
          </w:tcPr>
          <w:p>
            <w:pPr>
              <w:jc w:val="right"/>
              <w:ind w:right="71"/>
              <w:spacing w:after="0"/>
              <w:rPr>
                <w:sz w:val="20"/>
                <w:szCs w:val="20"/>
                <w:color w:val="auto"/>
              </w:rPr>
            </w:pPr>
            <w:r>
              <w:rPr>
                <w:rFonts w:ascii="Arial" w:cs="Arial" w:eastAsia="Arial" w:hAnsi="Arial"/>
                <w:sz w:val="14"/>
                <w:szCs w:val="14"/>
                <w:color w:val="auto"/>
              </w:rPr>
              <w:t>579,118</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220"/>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31,040,121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53.60</w:t>
            </w:r>
          </w:p>
        </w:tc>
      </w:tr>
      <w:tr>
        <w:trPr>
          <w:trHeight w:val="276"/>
        </w:trPr>
        <w:tc>
          <w:tcPr>
            <w:tcW w:w="4860" w:type="dxa"/>
            <w:vAlign w:val="bottom"/>
            <w:gridSpan w:val="2"/>
            <w:shd w:val="clear" w:color="auto" w:fill="CCEEFF"/>
          </w:tcPr>
          <w:p>
            <w:pPr>
              <w:jc w:val="right"/>
              <w:ind w:right="3740"/>
              <w:spacing w:after="0"/>
              <w:rPr>
                <w:sz w:val="20"/>
                <w:szCs w:val="20"/>
                <w:color w:val="auto"/>
              </w:rPr>
            </w:pPr>
            <w:r>
              <w:rPr>
                <w:rFonts w:ascii="Arial" w:cs="Arial" w:eastAsia="Arial" w:hAnsi="Arial"/>
                <w:sz w:val="14"/>
                <w:szCs w:val="14"/>
                <w:color w:val="auto"/>
              </w:rPr>
              <w:t>4th Quarter 2011</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254,557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2,921,575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11.48</w:t>
            </w:r>
          </w:p>
        </w:tc>
      </w:tr>
      <w:tr>
        <w:trPr>
          <w:trHeight w:val="264"/>
        </w:trPr>
        <w:tc>
          <w:tcPr>
            <w:tcW w:w="4860" w:type="dxa"/>
            <w:vAlign w:val="bottom"/>
            <w:tcBorders>
              <w:bottom w:val="single" w:sz="8" w:color="CCEEFF"/>
            </w:tcBorders>
            <w:gridSpan w:val="2"/>
          </w:tcPr>
          <w:p>
            <w:pPr>
              <w:jc w:val="right"/>
              <w:ind w:right="3740"/>
              <w:spacing w:after="0"/>
              <w:rPr>
                <w:sz w:val="20"/>
                <w:szCs w:val="20"/>
                <w:color w:val="auto"/>
              </w:rPr>
            </w:pPr>
            <w:r>
              <w:rPr>
                <w:rFonts w:ascii="Arial" w:cs="Arial" w:eastAsia="Arial" w:hAnsi="Arial"/>
                <w:sz w:val="14"/>
                <w:szCs w:val="14"/>
                <w:color w:val="auto"/>
              </w:rPr>
              <w:t>3rd Quarter 2011</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384,627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30.28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8,075,369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21.00</w:t>
            </w:r>
          </w:p>
        </w:tc>
      </w:tr>
      <w:tr>
        <w:trPr>
          <w:trHeight w:val="243"/>
        </w:trPr>
        <w:tc>
          <w:tcPr>
            <w:tcW w:w="4860" w:type="dxa"/>
            <w:vAlign w:val="bottom"/>
            <w:tcBorders>
              <w:bottom w:val="single" w:sz="8" w:color="CCEEFF"/>
            </w:tcBorders>
            <w:gridSpan w:val="2"/>
            <w:shd w:val="clear" w:color="auto" w:fill="CCEEFF"/>
          </w:tcPr>
          <w:p>
            <w:pPr>
              <w:jc w:val="right"/>
              <w:ind w:right="3740"/>
              <w:spacing w:after="0"/>
              <w:rPr>
                <w:sz w:val="20"/>
                <w:szCs w:val="20"/>
                <w:color w:val="auto"/>
              </w:rPr>
            </w:pPr>
            <w:r>
              <w:rPr>
                <w:rFonts w:ascii="Arial" w:cs="Arial" w:eastAsia="Arial" w:hAnsi="Arial"/>
                <w:sz w:val="14"/>
                <w:szCs w:val="14"/>
                <w:color w:val="auto"/>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1,587,097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32.90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48,095,228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30.30</w:t>
            </w: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and Non-comparable (excluding deals signed for development projects)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right"/>
              <w:ind w:right="3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11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860" w:type="dxa"/>
            <w:vAlign w:val="bottom"/>
            <w:gridSpan w:val="2"/>
          </w:tcPr>
          <w:p>
            <w:pPr>
              <w:ind w:left="380"/>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800" w:type="dxa"/>
            <w:vAlign w:val="bottom"/>
            <w:gridSpan w:val="2"/>
          </w:tcPr>
          <w:p>
            <w:pPr>
              <w:ind w:left="5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11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4860" w:type="dxa"/>
            <w:vAlign w:val="bottom"/>
            <w:gridSpan w:val="2"/>
            <w:shd w:val="clear" w:color="auto" w:fill="CCEEFF"/>
          </w:tcPr>
          <w:p>
            <w:pPr>
              <w:jc w:val="right"/>
              <w:ind w:right="3740"/>
              <w:spacing w:after="0"/>
              <w:rPr>
                <w:sz w:val="20"/>
                <w:szCs w:val="20"/>
                <w:color w:val="auto"/>
              </w:rPr>
            </w:pPr>
            <w:r>
              <w:rPr>
                <w:rFonts w:ascii="Arial" w:cs="Arial" w:eastAsia="Arial" w:hAnsi="Arial"/>
                <w:sz w:val="14"/>
                <w:szCs w:val="14"/>
                <w:color w:val="auto"/>
              </w:rPr>
              <w:t>2nd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363,375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36.34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5,516,163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15.18</w:t>
            </w:r>
          </w:p>
        </w:tc>
      </w:tr>
      <w:tr>
        <w:trPr>
          <w:trHeight w:val="264"/>
        </w:trPr>
        <w:tc>
          <w:tcPr>
            <w:tcW w:w="4860" w:type="dxa"/>
            <w:vAlign w:val="bottom"/>
            <w:gridSpan w:val="2"/>
          </w:tcPr>
          <w:p>
            <w:pPr>
              <w:jc w:val="right"/>
              <w:ind w:right="3740"/>
              <w:spacing w:after="0"/>
              <w:rPr>
                <w:sz w:val="20"/>
                <w:szCs w:val="20"/>
                <w:color w:val="auto"/>
              </w:rPr>
            </w:pPr>
            <w:r>
              <w:rPr>
                <w:rFonts w:ascii="Arial" w:cs="Arial" w:eastAsia="Arial" w:hAnsi="Arial"/>
                <w:sz w:val="14"/>
                <w:szCs w:val="14"/>
                <w:color w:val="auto"/>
              </w:rPr>
              <w:t>1st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680" w:type="dxa"/>
            <w:vAlign w:val="bottom"/>
          </w:tcPr>
          <w:p>
            <w:pPr>
              <w:jc w:val="right"/>
              <w:ind w:right="71"/>
              <w:spacing w:after="0"/>
              <w:rPr>
                <w:sz w:val="20"/>
                <w:szCs w:val="20"/>
                <w:color w:val="auto"/>
              </w:rPr>
            </w:pPr>
            <w:r>
              <w:rPr>
                <w:rFonts w:ascii="Arial" w:cs="Arial" w:eastAsia="Arial" w:hAnsi="Arial"/>
                <w:sz w:val="14"/>
                <w:szCs w:val="14"/>
                <w:color w:val="auto"/>
              </w:rPr>
              <w:t>472,501</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220"/>
              <w:spacing w:after="0"/>
              <w:rPr>
                <w:sz w:val="20"/>
                <w:szCs w:val="20"/>
                <w:color w:val="auto"/>
              </w:rPr>
            </w:pPr>
            <w:r>
              <w:rPr>
                <w:rFonts w:ascii="Arial" w:cs="Arial" w:eastAsia="Arial" w:hAnsi="Arial"/>
                <w:sz w:val="14"/>
                <w:szCs w:val="14"/>
                <w:color w:val="auto"/>
              </w:rPr>
              <w:t>32.01</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13,008,316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27.53</w:t>
            </w:r>
          </w:p>
        </w:tc>
      </w:tr>
      <w:tr>
        <w:trPr>
          <w:trHeight w:val="276"/>
        </w:trPr>
        <w:tc>
          <w:tcPr>
            <w:tcW w:w="4860" w:type="dxa"/>
            <w:vAlign w:val="bottom"/>
            <w:gridSpan w:val="2"/>
            <w:shd w:val="clear" w:color="auto" w:fill="CCEEFF"/>
          </w:tcPr>
          <w:p>
            <w:pPr>
              <w:jc w:val="right"/>
              <w:ind w:right="3740"/>
              <w:spacing w:after="0"/>
              <w:rPr>
                <w:sz w:val="20"/>
                <w:szCs w:val="20"/>
                <w:color w:val="auto"/>
              </w:rPr>
            </w:pPr>
            <w:r>
              <w:rPr>
                <w:rFonts w:ascii="Arial" w:cs="Arial" w:eastAsia="Arial" w:hAnsi="Arial"/>
                <w:sz w:val="14"/>
                <w:szCs w:val="14"/>
                <w:color w:val="auto"/>
              </w:rPr>
              <w:t>4th Quarter 2011</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254,557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2,921,575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11.48</w:t>
            </w:r>
          </w:p>
        </w:tc>
      </w:tr>
      <w:tr>
        <w:trPr>
          <w:trHeight w:val="264"/>
        </w:trPr>
        <w:tc>
          <w:tcPr>
            <w:tcW w:w="4860" w:type="dxa"/>
            <w:vAlign w:val="bottom"/>
            <w:tcBorders>
              <w:bottom w:val="single" w:sz="8" w:color="CCEEFF"/>
            </w:tcBorders>
            <w:gridSpan w:val="2"/>
          </w:tcPr>
          <w:p>
            <w:pPr>
              <w:jc w:val="right"/>
              <w:ind w:right="3740"/>
              <w:spacing w:after="0"/>
              <w:rPr>
                <w:sz w:val="20"/>
                <w:szCs w:val="20"/>
                <w:color w:val="auto"/>
              </w:rPr>
            </w:pPr>
            <w:r>
              <w:rPr>
                <w:rFonts w:ascii="Arial" w:cs="Arial" w:eastAsia="Arial" w:hAnsi="Arial"/>
                <w:sz w:val="14"/>
                <w:szCs w:val="14"/>
                <w:color w:val="auto"/>
              </w:rPr>
              <w:t>3rd Quarter 2011</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384,627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30.28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8,075,369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21.00</w:t>
            </w:r>
          </w:p>
        </w:tc>
      </w:tr>
      <w:tr>
        <w:trPr>
          <w:trHeight w:val="243"/>
        </w:trPr>
        <w:tc>
          <w:tcPr>
            <w:tcW w:w="4860" w:type="dxa"/>
            <w:vAlign w:val="bottom"/>
            <w:tcBorders>
              <w:bottom w:val="single" w:sz="8" w:color="CCEEFF"/>
            </w:tcBorders>
            <w:gridSpan w:val="2"/>
            <w:shd w:val="clear" w:color="auto" w:fill="CCEEFF"/>
          </w:tcPr>
          <w:p>
            <w:pPr>
              <w:jc w:val="right"/>
              <w:ind w:right="3740"/>
              <w:spacing w:after="0"/>
              <w:rPr>
                <w:sz w:val="20"/>
                <w:szCs w:val="20"/>
                <w:color w:val="auto"/>
              </w:rPr>
            </w:pPr>
            <w:r>
              <w:rPr>
                <w:rFonts w:ascii="Arial" w:cs="Arial" w:eastAsia="Arial" w:hAnsi="Arial"/>
                <w:sz w:val="14"/>
                <w:szCs w:val="14"/>
                <w:color w:val="auto"/>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1,475,060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29,521,423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20.01</w:t>
            </w: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Weighted average is determined on the basis of square footage.</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economic terms of leases signed for development projects are also included in the overall project return and cost summary shown on the "Summary of Development and Redevelopment Opportunities."</w:t>
      </w:r>
    </w:p>
    <w:p>
      <w:pPr>
        <w:sectPr>
          <w:pgSz w:w="11900" w:h="16838" w:orient="portrait"/>
          <w:cols w:equalWidth="0" w:num="1">
            <w:col w:w="11220"/>
          </w:cols>
          <w:pgMar w:left="340" w:top="963" w:right="339" w:bottom="514"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340" w:top="963" w:right="339" w:bottom="514"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734,000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17.16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922,000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31.49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1,657,000</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879,000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14.52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991,000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1,869,000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1,483,000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15.91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1,026,000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33.79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2,509,000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586,000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18.48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335,000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31.46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23.23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384,000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38.18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27.70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16.83</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10,336,000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16.44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7,511,000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33.80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17,847,000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157,000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17.63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541,000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32.38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109,000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582,000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30.16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671,000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33.79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870,000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400,000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325,000</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11.04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11,070,000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10,336,000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16.44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7,511,000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33.80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17,847,000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June 30,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2012.</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5" w:name="page26"/>
    <w:bookmarkEnd w:id="25"/>
    <w:p>
      <w:pPr>
        <w:ind w:left="20" w:right="32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June 30, 2012</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Properties (4)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June 30, 2012</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30, 2011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38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Leased %</w:t>
            </w: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150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19,176,000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18,066,000</w:t>
            </w:r>
          </w:p>
        </w:tc>
        <w:tc>
          <w:tcPr>
            <w:tcW w:w="2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94.2%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18,646,000</w:t>
            </w:r>
          </w:p>
        </w:tc>
        <w:tc>
          <w:tcPr>
            <w:tcW w:w="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17,413,000</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93.4%</w:t>
            </w:r>
          </w:p>
        </w:tc>
      </w:tr>
      <w:tr>
        <w:trPr>
          <w:trHeight w:val="540"/>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978</w:t>
            </w:r>
          </w:p>
        </w:tc>
        <w:tc>
          <w:tcPr>
            <w:tcW w:w="2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96.7%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885</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98.0%</w:t>
            </w:r>
          </w:p>
        </w:tc>
      </w:tr>
      <w:tr>
        <w:trPr>
          <w:trHeight w:val="864"/>
        </w:trPr>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June 30, 2012</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30, 2011</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38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Leased %</w:t>
            </w: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150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-2057400</wp:posOffset>
            </wp:positionV>
            <wp:extent cx="6603365" cy="2778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6840"/>
          </w:cols>
          <w:pgMar w:left="760" w:top="742" w:right="7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Properties (2) (5) (sf)</w:t>
            </w: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17,100,000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16,212,000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94.8%</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17,151,000</w:t>
            </w:r>
          </w:p>
        </w:tc>
        <w:tc>
          <w:tcPr>
            <w:tcW w:w="13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16,105,000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70"/>
        </w:trPr>
        <w:tc>
          <w:tcPr>
            <w:tcW w:w="30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Properties (4) (units)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870</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96.3%</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r>
      <w:tr>
        <w:trPr>
          <w:trHeight w:val="33"/>
        </w:trPr>
        <w:tc>
          <w:tcPr>
            <w:tcW w:w="3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June 30, 2012, leased percentage was 97.8% for anchor tenants and 89.6% for small shop tenants.</w:t>
      </w:r>
    </w:p>
    <w:p>
      <w:pPr>
        <w:spacing w:after="0" w:line="72" w:lineRule="exact"/>
        <w:rPr>
          <w:rFonts w:ascii="Arial" w:cs="Arial" w:eastAsia="Arial" w:hAnsi="Arial"/>
          <w:sz w:val="16"/>
          <w:szCs w:val="16"/>
          <w:color w:val="auto"/>
        </w:rPr>
      </w:pPr>
    </w:p>
    <w:p>
      <w:pPr>
        <w:ind w:left="20" w:right="160" w:firstLine="1"/>
        <w:spacing w:after="0" w:line="278" w:lineRule="auto"/>
        <w:tabs>
          <w:tab w:leader="none" w:pos="2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Overall portfolio statistics at June 30, 2012 include Rollingwood Apartments, the Crest at Congressional Plaza Apartments, Santana Row (including 108 residential units at Santana Row 6B) and Bethesda Row. Same center and 2011 overall statistics exclude the 108 unit residential building at Santana Row that opened in October 2011.</w:t>
      </w:r>
    </w:p>
    <w:p>
      <w:pPr>
        <w:spacing w:after="0" w:line="22" w:lineRule="exact"/>
        <w:rPr>
          <w:rFonts w:ascii="Arial" w:cs="Arial" w:eastAsia="Arial" w:hAnsi="Arial"/>
          <w:sz w:val="16"/>
          <w:szCs w:val="16"/>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00"/>
          </w:cols>
          <w:pgMar w:left="760" w:top="742" w:right="7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2.44%</w:t>
            </w:r>
          </w:p>
        </w:tc>
        <w:tc>
          <w:tcPr>
            <w:tcW w:w="980" w:type="dxa"/>
            <w:vAlign w:val="bottom"/>
          </w:tcPr>
          <w:p>
            <w:pPr>
              <w:jc w:val="right"/>
              <w:spacing w:after="0"/>
              <w:rPr>
                <w:sz w:val="20"/>
                <w:szCs w:val="20"/>
                <w:color w:val="auto"/>
              </w:rPr>
            </w:pPr>
            <w:r>
              <w:rPr>
                <w:rFonts w:ascii="Arial" w:cs="Arial" w:eastAsia="Arial" w:hAnsi="Arial"/>
                <w:sz w:val="16"/>
                <w:szCs w:val="16"/>
                <w:color w:val="auto"/>
              </w:rPr>
              <w:t>658,000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8,572,000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2.02%</w:t>
            </w:r>
          </w:p>
        </w:tc>
        <w:tc>
          <w:tcPr>
            <w:tcW w:w="980" w:type="dxa"/>
            <w:vAlign w:val="bottom"/>
          </w:tcPr>
          <w:p>
            <w:pPr>
              <w:jc w:val="right"/>
              <w:spacing w:after="0"/>
              <w:rPr>
                <w:sz w:val="20"/>
                <w:szCs w:val="20"/>
                <w:color w:val="auto"/>
              </w:rPr>
            </w:pPr>
            <w:r>
              <w:rPr>
                <w:rFonts w:ascii="Arial" w:cs="Arial" w:eastAsia="Arial" w:hAnsi="Arial"/>
                <w:sz w:val="16"/>
                <w:szCs w:val="16"/>
                <w:color w:val="auto"/>
              </w:rPr>
              <w:t>463,000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6,551,000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980" w:type="dxa"/>
            <w:vAlign w:val="bottom"/>
          </w:tcPr>
          <w:p>
            <w:pPr>
              <w:jc w:val="right"/>
              <w:spacing w:after="0"/>
              <w:rPr>
                <w:sz w:val="20"/>
                <w:szCs w:val="20"/>
                <w:color w:val="auto"/>
              </w:rPr>
            </w:pPr>
            <w:r>
              <w:rPr>
                <w:rFonts w:ascii="Arial" w:cs="Arial" w:eastAsia="Arial" w:hAnsi="Arial"/>
                <w:sz w:val="16"/>
                <w:szCs w:val="16"/>
                <w:color w:val="auto"/>
              </w:rPr>
              <w:t>205,000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Safeway,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980" w:type="dxa"/>
            <w:vAlign w:val="bottom"/>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1.02%</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3,456,000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Supervalu Inc. (Acme/Sav-A-Lot/Star Mkt/Shoppers Food)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3,350,000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Pr>
          <w:p>
            <w:pPr>
              <w:jc w:val="right"/>
              <w:spacing w:after="0"/>
              <w:rPr>
                <w:sz w:val="20"/>
                <w:szCs w:val="20"/>
                <w:color w:val="auto"/>
              </w:rPr>
            </w:pPr>
            <w:r>
              <w:rPr>
                <w:rFonts w:ascii="Arial" w:cs="Arial" w:eastAsia="Arial" w:hAnsi="Arial"/>
                <w:sz w:val="16"/>
                <w:szCs w:val="16"/>
                <w:color w:val="auto"/>
              </w:rPr>
              <w:t>338,000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127,000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2,941,000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122,607,000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28.95%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6,519,000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33.99%</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423,747,000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19,176,000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200" w:hanging="482"/>
        <w:spacing w:after="0" w:line="293"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June 30, 2012.</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2012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&amp; Debt Summary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0"/>
              </w:rPr>
              <w:t>and/or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2"/>
              </w:rPr>
              <w:t>Capital</w:t>
            </w:r>
          </w:p>
        </w:tc>
        <w:tc>
          <w:tcPr>
            <w:tcW w:w="76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0"/>
              </w:rPr>
              <w:t>Stated</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Year</w:t>
            </w: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0" w:type="dxa"/>
            <w:vAlign w:val="bottom"/>
          </w:tcPr>
          <w:p>
            <w:pPr>
              <w:spacing w:after="0"/>
              <w:rPr>
                <w:sz w:val="11"/>
                <w:szCs w:val="11"/>
                <w:color w:val="auto"/>
              </w:rPr>
            </w:pPr>
          </w:p>
        </w:tc>
        <w:tc>
          <w:tcPr>
            <w:tcW w:w="52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1"/>
              </w:rPr>
              <w:t>Lease</w:t>
            </w:r>
          </w:p>
        </w:tc>
        <w:tc>
          <w:tcPr>
            <w:tcW w:w="76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85"/>
              </w:rPr>
              <w:t>Interest</w:t>
            </w:r>
          </w:p>
        </w:tc>
        <w:tc>
          <w:tcPr>
            <w:tcW w:w="6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8"/>
              </w:rPr>
              <w:t>Maturity</w:t>
            </w:r>
          </w:p>
        </w:tc>
        <w:tc>
          <w:tcPr>
            <w:tcW w:w="5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8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Acquired</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Cost</w:t>
            </w: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76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w w:val="85"/>
              </w:rPr>
              <w:t>Rate</w:t>
            </w: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Date</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GLA (1)</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8"/>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2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color w:val="auto"/>
                <w:w w:val="88"/>
              </w:rPr>
              <w:t>thousands)</w:t>
            </w: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84"/>
              </w:rPr>
              <w:t>thousands)</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148"/>
        </w:trPr>
        <w:tc>
          <w:tcPr>
            <w:tcW w:w="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2006-</w:t>
            </w: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(2)</w:t>
            </w:r>
          </w:p>
        </w:tc>
        <w:tc>
          <w:tcPr>
            <w:tcW w:w="6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r>
      <w:tr>
        <w:trPr>
          <w:trHeight w:val="168"/>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080" w:type="dxa"/>
            <w:vAlign w:val="bottom"/>
            <w:gridSpan w:val="2"/>
          </w:tcPr>
          <w:p>
            <w:pPr>
              <w:ind w:left="160"/>
              <w:spacing w:after="0"/>
              <w:rPr>
                <w:sz w:val="20"/>
                <w:szCs w:val="20"/>
                <w:color w:val="auto"/>
              </w:rPr>
            </w:pPr>
            <w:r>
              <w:rPr>
                <w:rFonts w:ascii="Arial" w:cs="Arial" w:eastAsia="Arial" w:hAnsi="Arial"/>
                <w:sz w:val="13"/>
                <w:szCs w:val="13"/>
                <w:color w:val="auto"/>
              </w:rPr>
              <w:t>Washington, DC-MD-VA</w:t>
            </w:r>
          </w:p>
        </w:tc>
        <w:tc>
          <w:tcPr>
            <w:tcW w:w="600" w:type="dxa"/>
            <w:vAlign w:val="bottom"/>
          </w:tcPr>
          <w:p>
            <w:pPr>
              <w:ind w:left="60"/>
              <w:spacing w:after="0"/>
              <w:rPr>
                <w:sz w:val="20"/>
                <w:szCs w:val="20"/>
                <w:color w:val="auto"/>
              </w:rPr>
            </w:pPr>
            <w:r>
              <w:rPr>
                <w:rFonts w:ascii="Arial" w:cs="Arial" w:eastAsia="Arial" w:hAnsi="Arial"/>
                <w:sz w:val="13"/>
                <w:szCs w:val="13"/>
                <w:color w:val="auto"/>
              </w:rPr>
              <w:t>2007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34,435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center"/>
              <w:ind w:right="18"/>
              <w:spacing w:after="0"/>
              <w:rPr>
                <w:sz w:val="20"/>
                <w:szCs w:val="20"/>
                <w:color w:val="auto"/>
              </w:rPr>
            </w:pPr>
            <w:r>
              <w:rPr>
                <w:rFonts w:ascii="Arial" w:cs="Arial" w:eastAsia="Arial" w:hAnsi="Arial"/>
                <w:sz w:val="13"/>
                <w:szCs w:val="13"/>
                <w:color w:val="auto"/>
                <w:w w:val="90"/>
              </w:rPr>
              <w:t>20,785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5.99% (3)</w:t>
            </w:r>
          </w:p>
        </w:tc>
        <w:tc>
          <w:tcPr>
            <w:tcW w:w="620" w:type="dxa"/>
            <w:vAlign w:val="bottom"/>
          </w:tcPr>
          <w:p>
            <w:pPr>
              <w:ind w:left="80"/>
              <w:spacing w:after="0"/>
              <w:rPr>
                <w:sz w:val="20"/>
                <w:szCs w:val="20"/>
                <w:color w:val="auto"/>
              </w:rPr>
            </w:pPr>
            <w:r>
              <w:rPr>
                <w:rFonts w:ascii="Arial" w:cs="Arial" w:eastAsia="Arial" w:hAnsi="Arial"/>
                <w:sz w:val="13"/>
                <w:szCs w:val="13"/>
                <w:color w:val="auto"/>
              </w:rPr>
              <w:t>7/1/2016</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ind w:left="60"/>
              <w:spacing w:after="0"/>
              <w:rPr>
                <w:sz w:val="20"/>
                <w:szCs w:val="20"/>
                <w:color w:val="auto"/>
              </w:rPr>
            </w:pPr>
            <w:r>
              <w:rPr>
                <w:rFonts w:ascii="Arial" w:cs="Arial" w:eastAsia="Arial" w:hAnsi="Arial"/>
                <w:sz w:val="13"/>
                <w:szCs w:val="13"/>
                <w:color w:val="auto"/>
              </w:rPr>
              <w:t>46,000</w:t>
            </w:r>
          </w:p>
        </w:tc>
        <w:tc>
          <w:tcPr>
            <w:tcW w:w="86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0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Free State Shopping</w:t>
            </w:r>
          </w:p>
        </w:tc>
        <w:tc>
          <w:tcPr>
            <w:tcW w:w="2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w:t>
            </w:r>
          </w:p>
        </w:tc>
      </w:tr>
      <w:tr>
        <w:trPr>
          <w:trHeight w:val="17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Washington, DC-MD-VA</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66,566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Office Depot</w:t>
            </w:r>
          </w:p>
        </w:tc>
      </w:tr>
      <w:tr>
        <w:trPr>
          <w:trHeight w:val="264"/>
        </w:trPr>
        <w:tc>
          <w:tcPr>
            <w:tcW w:w="150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Washington, DC-MD-VA</w:t>
            </w:r>
          </w:p>
        </w:tc>
        <w:tc>
          <w:tcPr>
            <w:tcW w:w="6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21,629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jc w:val="center"/>
              <w:ind w:right="18"/>
              <w:spacing w:after="0"/>
              <w:rPr>
                <w:sz w:val="20"/>
                <w:szCs w:val="20"/>
                <w:color w:val="auto"/>
              </w:rPr>
            </w:pPr>
            <w:r>
              <w:rPr>
                <w:rFonts w:ascii="Arial" w:cs="Arial" w:eastAsia="Arial" w:hAnsi="Arial"/>
                <w:sz w:val="13"/>
                <w:szCs w:val="13"/>
                <w:color w:val="auto"/>
                <w:w w:val="90"/>
              </w:rPr>
              <w:t>12,382</w:t>
            </w:r>
          </w:p>
        </w:tc>
        <w:tc>
          <w:tcPr>
            <w:tcW w:w="76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5.77% (4)</w:t>
            </w:r>
          </w:p>
        </w:tc>
        <w:tc>
          <w:tcPr>
            <w:tcW w:w="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7/5/2014</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6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1"/>
              </w:rPr>
              <w:t>Total Washington Metropolitan Area</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5"/>
              </w:rPr>
              <w:t>122,630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New York / New Jersey</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Nassau-Suffolk, NY</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20,587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center"/>
              <w:ind w:right="18"/>
              <w:spacing w:after="0"/>
              <w:rPr>
                <w:sz w:val="20"/>
                <w:szCs w:val="20"/>
                <w:color w:val="auto"/>
              </w:rPr>
            </w:pPr>
            <w:r>
              <w:rPr>
                <w:rFonts w:ascii="Arial" w:cs="Arial" w:eastAsia="Arial" w:hAnsi="Arial"/>
                <w:sz w:val="13"/>
                <w:szCs w:val="13"/>
                <w:color w:val="auto"/>
                <w:w w:val="90"/>
              </w:rPr>
              <w:t>13,600</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5.90% (2)</w:t>
            </w:r>
          </w:p>
        </w:tc>
        <w:tc>
          <w:tcPr>
            <w:tcW w:w="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7/1/2016</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ind w:left="160"/>
              <w:spacing w:after="0"/>
              <w:rPr>
                <w:sz w:val="20"/>
                <w:szCs w:val="20"/>
                <w:color w:val="auto"/>
              </w:rPr>
            </w:pPr>
            <w:r>
              <w:rPr>
                <w:rFonts w:ascii="Arial" w:cs="Arial" w:eastAsia="Arial" w:hAnsi="Arial"/>
                <w:sz w:val="13"/>
                <w:szCs w:val="13"/>
                <w:color w:val="auto"/>
              </w:rPr>
              <w:t>Total New York / New Jersey</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20,587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0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08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90"/>
              </w:rPr>
              <w:t>Boston-Worcester-Lawrence-Lowell-</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18,984</w:t>
            </w:r>
          </w:p>
        </w:tc>
        <w:tc>
          <w:tcPr>
            <w:tcW w:w="100" w:type="dxa"/>
            <w:vAlign w:val="bottom"/>
          </w:tcPr>
          <w:p>
            <w:pPr>
              <w:spacing w:after="0"/>
              <w:rPr>
                <w:sz w:val="12"/>
                <w:szCs w:val="12"/>
                <w:color w:val="auto"/>
              </w:rPr>
            </w:pPr>
          </w:p>
        </w:tc>
        <w:tc>
          <w:tcPr>
            <w:tcW w:w="520" w:type="dxa"/>
            <w:vAlign w:val="bottom"/>
          </w:tcPr>
          <w:p>
            <w:pPr>
              <w:jc w:val="center"/>
              <w:ind w:right="18"/>
              <w:spacing w:after="0" w:line="148" w:lineRule="exact"/>
              <w:rPr>
                <w:sz w:val="20"/>
                <w:szCs w:val="20"/>
                <w:color w:val="auto"/>
              </w:rPr>
            </w:pPr>
            <w:r>
              <w:rPr>
                <w:rFonts w:ascii="Arial" w:cs="Arial" w:eastAsia="Arial" w:hAnsi="Arial"/>
                <w:sz w:val="13"/>
                <w:szCs w:val="13"/>
                <w:color w:val="auto"/>
                <w:w w:val="90"/>
              </w:rPr>
              <w:t>10,500</w:t>
            </w:r>
          </w:p>
        </w:tc>
        <w:tc>
          <w:tcPr>
            <w:tcW w:w="7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5.12% (2)</w:t>
            </w: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auto"/>
                <w:w w:val="89"/>
              </w:rPr>
              <w:t>12/1/2014</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64,000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080" w:type="dxa"/>
            <w:vAlign w:val="bottom"/>
          </w:tcPr>
          <w:p>
            <w:pPr>
              <w:ind w:left="120"/>
              <w:spacing w:after="0" w:line="148" w:lineRule="exact"/>
              <w:rPr>
                <w:sz w:val="20"/>
                <w:szCs w:val="20"/>
                <w:color w:val="auto"/>
              </w:rPr>
            </w:pPr>
            <w:r>
              <w:rPr>
                <w:rFonts w:ascii="Arial" w:cs="Arial" w:eastAsia="Arial" w:hAnsi="Arial"/>
                <w:sz w:val="13"/>
                <w:szCs w:val="13"/>
                <w:color w:val="auto"/>
              </w:rPr>
              <w:t>Sears</w:t>
            </w: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Arial" w:cs="Arial" w:eastAsia="Arial" w:hAnsi="Arial"/>
                <w:sz w:val="13"/>
                <w:szCs w:val="13"/>
                <w:color w:val="auto"/>
              </w:rPr>
              <w:t>Brockton, MA</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0"/>
              </w:rPr>
              <w:t>Boston-Worcester-Lawrence-Lowell-</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22,649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Brockton, MA</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Pleasant Shops</w:t>
            </w:r>
          </w:p>
        </w:tc>
        <w:tc>
          <w:tcPr>
            <w:tcW w:w="2080" w:type="dxa"/>
            <w:vAlign w:val="bottom"/>
            <w:gridSpan w:val="2"/>
          </w:tcPr>
          <w:p>
            <w:pPr>
              <w:ind w:left="160"/>
              <w:spacing w:after="0" w:line="148" w:lineRule="exact"/>
              <w:rPr>
                <w:sz w:val="20"/>
                <w:szCs w:val="20"/>
                <w:color w:val="auto"/>
              </w:rPr>
            </w:pPr>
            <w:r>
              <w:rPr>
                <w:rFonts w:ascii="Arial" w:cs="Arial" w:eastAsia="Arial" w:hAnsi="Arial"/>
                <w:sz w:val="13"/>
                <w:szCs w:val="13"/>
                <w:color w:val="auto"/>
                <w:w w:val="90"/>
              </w:rPr>
              <w:t>Boston-Worcester-Lawrence-Lowell-</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4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23,524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Foodmaster</w:t>
            </w:r>
          </w:p>
        </w:tc>
        <w:tc>
          <w:tcPr>
            <w:tcW w:w="208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Brockton, MA</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New England</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65,157</w:t>
            </w: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370,000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spacing w:after="0"/>
              <w:rPr>
                <w:sz w:val="21"/>
                <w:szCs w:val="21"/>
                <w:color w:val="auto"/>
              </w:rPr>
            </w:pPr>
          </w:p>
        </w:tc>
      </w:tr>
      <w:tr>
        <w:trPr>
          <w:trHeight w:val="26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Grand Totals</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5"/>
              </w:rPr>
              <w:t>208,374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57,267</w:t>
            </w: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88%</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w:t>
      </w:r>
    </w:p>
    <w:p>
      <w:pPr>
        <w:spacing w:after="0" w:line="121" w:lineRule="exact"/>
        <w:rPr>
          <w:sz w:val="20"/>
          <w:szCs w:val="20"/>
          <w:color w:val="auto"/>
        </w:rPr>
      </w:pPr>
    </w:p>
    <w:p>
      <w:pPr>
        <w:ind w:left="220" w:hanging="185"/>
        <w:spacing w:after="0"/>
        <w:tabs>
          <w:tab w:leader="none" w:pos="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Grocery anchor is defined as a grocery tenant leasing 15,000 square feet or more.</w:t>
      </w:r>
    </w:p>
    <w:p>
      <w:pPr>
        <w:spacing w:after="0" w:line="120" w:lineRule="exact"/>
        <w:rPr>
          <w:rFonts w:ascii="Arial" w:cs="Arial" w:eastAsia="Arial" w:hAnsi="Arial"/>
          <w:sz w:val="13"/>
          <w:szCs w:val="13"/>
          <w:color w:val="auto"/>
        </w:rPr>
      </w:pPr>
    </w:p>
    <w:p>
      <w:pPr>
        <w:ind w:left="220" w:hanging="185"/>
        <w:spacing w:after="0"/>
        <w:tabs>
          <w:tab w:leader="none" w:pos="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Interest only until maturity.</w:t>
      </w:r>
    </w:p>
    <w:p>
      <w:pPr>
        <w:spacing w:after="0" w:line="39" w:lineRule="exact"/>
        <w:rPr>
          <w:rFonts w:ascii="Arial" w:cs="Arial" w:eastAsia="Arial" w:hAnsi="Arial"/>
          <w:sz w:val="13"/>
          <w:szCs w:val="13"/>
          <w:color w:val="auto"/>
        </w:rPr>
      </w:pPr>
    </w:p>
    <w:p>
      <w:pPr>
        <w:ind w:left="40" w:right="3320" w:hanging="5"/>
        <w:spacing w:after="0" w:line="237" w:lineRule="auto"/>
        <w:tabs>
          <w:tab w:leader="none" w:pos="218"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109" w:lineRule="exact"/>
        <w:rPr>
          <w:rFonts w:ascii="Arial" w:cs="Arial" w:eastAsia="Arial" w:hAnsi="Arial"/>
          <w:sz w:val="13"/>
          <w:szCs w:val="13"/>
          <w:color w:val="auto"/>
        </w:rPr>
      </w:pPr>
    </w:p>
    <w:p>
      <w:pPr>
        <w:ind w:left="220" w:hanging="185"/>
        <w:spacing w:after="0"/>
        <w:tabs>
          <w:tab w:leader="none" w:pos="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Effective July 5, 2007, principal and interest payments are due based on a 30-year amortization schedule.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5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2012 and 2011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77,718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35,199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32,063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71,770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62,632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48,949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97,416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92,419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206,695</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180,105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97,416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90,350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194,835</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178,036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2019-12-09T05:52:51Z</dcterms:created>
  <dcterms:modified xsi:type="dcterms:W3CDTF">2019-12-09T05:52:51Z</dcterms:modified>
</cp:coreProperties>
</file>