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2740"/>
        <w:spacing w:after="0" w:line="238" w:lineRule="auto"/>
        <w:tabs>
          <w:tab w:leader="none" w:pos="47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313747206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Check the following box if a fee is</w:t>
      </w:r>
      <w:r>
        <w:rPr>
          <w:sz w:val="20"/>
          <w:szCs w:val="20"/>
          <w:color w:val="auto"/>
        </w:rPr>
        <w:tab/>
      </w:r>
      <w:r>
        <w:rPr>
          <w:rFonts w:ascii="Courier New" w:cs="Courier New" w:eastAsia="Courier New" w:hAnsi="Courier New"/>
          <w:sz w:val="16"/>
          <w:szCs w:val="16"/>
          <w:color w:val="auto"/>
        </w:rPr>
        <w:t>being paid with this statement [x].</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4000" w:val="left"/>
          <w:tab w:leader="none" w:pos="6420" w:val="left"/>
          <w:tab w:leader="none" w:pos="7260" w:val="left"/>
          <w:tab w:leader="none" w:pos="78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w:t>
        <w:tab/>
        <w:t>of 6</w:t>
        <w:tab/>
        <w:t>Pages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4"/>
          <w:szCs w:val="24"/>
          <w:color w:val="auto"/>
        </w:rPr>
      </w:pPr>
    </w:p>
    <w:p>
      <w:pPr>
        <w:ind w:left="1060"/>
        <w:spacing w:after="0"/>
        <w:tabs>
          <w:tab w:leader="none" w:pos="1880" w:val="left"/>
          <w:tab w:leader="none" w:pos="3360" w:val="left"/>
          <w:tab w:leader="none" w:pos="4420" w:val="left"/>
        </w:tabs>
        <w:rPr>
          <w:sz w:val="20"/>
          <w:szCs w:val="20"/>
          <w:color w:val="auto"/>
        </w:rPr>
      </w:pPr>
      <w:r>
        <w:rPr>
          <w:rFonts w:ascii="Courier New" w:cs="Courier New" w:eastAsia="Courier New" w:hAnsi="Courier New"/>
          <w:sz w:val="18"/>
          <w:szCs w:val="18"/>
          <w:color w:val="auto"/>
        </w:rPr>
        <w:t>Morgan</w:t>
        <w:tab/>
        <w:t>Stanley Dean</w:t>
        <w:tab/>
        <w:t>Witter &amp;</w:t>
      </w:r>
      <w:r>
        <w:rPr>
          <w:sz w:val="20"/>
          <w:szCs w:val="20"/>
          <w:color w:val="auto"/>
        </w:rPr>
        <w:tab/>
      </w:r>
      <w:r>
        <w:rPr>
          <w:rFonts w:ascii="Courier New" w:cs="Courier New" w:eastAsia="Courier New" w:hAnsi="Courier New"/>
          <w:sz w:val="16"/>
          <w:szCs w:val="16"/>
          <w:color w:val="auto"/>
        </w:rPr>
        <w:t>Co.</w:t>
      </w:r>
    </w:p>
    <w:p>
      <w:pPr>
        <w:ind w:left="1060"/>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39-314-5972</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852" w:right="1440" w:bottom="0" w:gutter="0" w:footer="0" w:header="0"/>
        </w:sectPr>
      </w:pPr>
    </w:p>
    <w:bookmarkStart w:id="1" w:name="page2"/>
    <w:bookmarkEnd w:id="1"/>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1,498,100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32" w:right="5259" w:hanging="736"/>
        <w:spacing w:after="0" w:line="235" w:lineRule="auto"/>
        <w:tabs>
          <w:tab w:leader="none" w:pos="2421"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2,119,300</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416"/>
        <w:spacing w:after="0" w:line="238" w:lineRule="auto"/>
        <w:tabs>
          <w:tab w:leader="none" w:pos="73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2,119,300</w:t>
      </w:r>
    </w:p>
    <w:p>
      <w:pPr>
        <w:spacing w:after="0" w:line="207" w:lineRule="exact"/>
        <w:rPr>
          <w:sz w:val="20"/>
          <w:szCs w:val="20"/>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5.29%</w:t>
      </w:r>
    </w:p>
    <w:p>
      <w:pPr>
        <w:spacing w:after="0" w:line="207" w:lineRule="exact"/>
        <w:rPr>
          <w:sz w:val="20"/>
          <w:szCs w:val="20"/>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2632"/>
        <w:spacing w:after="0"/>
        <w:rPr>
          <w:sz w:val="20"/>
          <w:szCs w:val="20"/>
          <w:color w:val="auto"/>
        </w:rPr>
      </w:pPr>
      <w:r>
        <w:rPr>
          <w:rFonts w:ascii="Courier New" w:cs="Courier New" w:eastAsia="Courier New" w:hAnsi="Courier New"/>
          <w:sz w:val="18"/>
          <w:szCs w:val="18"/>
          <w:color w:val="auto"/>
        </w:rPr>
        <w:t>IA, CO</w:t>
      </w:r>
    </w:p>
    <w:p>
      <w:pPr>
        <w:spacing w:after="0" w:line="207"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4000" w:val="left"/>
          <w:tab w:leader="none" w:pos="6300" w:val="left"/>
          <w:tab w:leader="none" w:pos="7160" w:val="left"/>
          <w:tab w:leader="none" w:pos="7580" w:val="left"/>
          <w:tab w:leader="none" w:pos="78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w:t>
        <w:tab/>
        <w:t>of</w:t>
        <w:tab/>
        <w:t>6</w:t>
        <w:tab/>
        <w:t>Pages</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Issuer:</w:t>
      </w:r>
    </w:p>
    <w:p>
      <w:pPr>
        <w:ind w:left="62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ind w:left="620"/>
        <w:spacing w:after="0" w:line="238" w:lineRule="auto"/>
        <w:rPr>
          <w:sz w:val="20"/>
          <w:szCs w:val="20"/>
          <w:color w:val="auto"/>
        </w:rPr>
      </w:pPr>
      <w:r>
        <w:rPr>
          <w:rFonts w:ascii="Courier New" w:cs="Courier New" w:eastAsia="Courier New" w:hAnsi="Courier New"/>
          <w:sz w:val="18"/>
          <w:szCs w:val="18"/>
          <w:color w:val="auto"/>
        </w:rPr>
        <w:t>1626 East Jefferson Street</w:t>
      </w:r>
    </w:p>
    <w:p>
      <w:pPr>
        <w:ind w:left="620"/>
        <w:spacing w:after="0"/>
        <w:rPr>
          <w:sz w:val="20"/>
          <w:szCs w:val="20"/>
          <w:color w:val="auto"/>
        </w:rPr>
      </w:pPr>
      <w:r>
        <w:rPr>
          <w:rFonts w:ascii="Courier New" w:cs="Courier New" w:eastAsia="Courier New" w:hAnsi="Courier New"/>
          <w:sz w:val="18"/>
          <w:szCs w:val="18"/>
          <w:color w:val="auto"/>
        </w:rPr>
        <w:t>Rockville, MD 20852-4041</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Person Filing:</w:t>
      </w:r>
    </w:p>
    <w:p>
      <w:pPr>
        <w:ind w:left="620"/>
        <w:spacing w:after="0" w:line="238" w:lineRule="auto"/>
        <w:rPr>
          <w:sz w:val="20"/>
          <w:szCs w:val="20"/>
          <w:color w:val="auto"/>
        </w:rPr>
      </w:pPr>
      <w:r>
        <w:rPr>
          <w:rFonts w:ascii="Courier New" w:cs="Courier New" w:eastAsia="Courier New" w:hAnsi="Courier New"/>
          <w:sz w:val="18"/>
          <w:szCs w:val="18"/>
          <w:color w:val="auto"/>
        </w:rPr>
        <w:t>Morgan Stanley Dean Witter &amp; Co.</w:t>
      </w:r>
    </w:p>
    <w:p>
      <w:pPr>
        <w:spacing w:after="0" w:line="200" w:lineRule="exact"/>
        <w:rPr>
          <w:sz w:val="20"/>
          <w:szCs w:val="20"/>
          <w:color w:val="auto"/>
        </w:rPr>
      </w:pPr>
    </w:p>
    <w:p>
      <w:pPr>
        <w:sectPr>
          <w:pgSz w:w="11900" w:h="16838" w:orient="portrait"/>
          <w:cols w:equalWidth="0" w:num="2">
            <w:col w:w="740" w:space="540"/>
            <w:col w:w="8939"/>
          </w:cols>
          <w:pgMar w:left="240" w:top="919" w:right="1440" w:bottom="1440" w:gutter="0" w:footer="0" w:header="0"/>
          <w:type w:val="continuous"/>
        </w:sectPr>
      </w:pPr>
    </w:p>
    <w:p>
      <w:pPr>
        <w:spacing w:after="0" w:line="7" w:lineRule="exact"/>
        <w:rPr>
          <w:sz w:val="20"/>
          <w:szCs w:val="20"/>
          <w:color w:val="auto"/>
        </w:rPr>
      </w:pPr>
    </w:p>
    <w:p>
      <w:pPr>
        <w:ind w:left="1280" w:right="1779" w:firstLine="632"/>
        <w:spacing w:after="0" w:line="290" w:lineRule="auto"/>
        <w:rPr>
          <w:sz w:val="20"/>
          <w:szCs w:val="20"/>
          <w:color w:val="auto"/>
        </w:rPr>
      </w:pPr>
      <w:r>
        <w:rPr>
          <w:rFonts w:ascii="Courier New" w:cs="Courier New" w:eastAsia="Courier New" w:hAnsi="Courier New"/>
          <w:sz w:val="16"/>
          <w:szCs w:val="16"/>
          <w:color w:val="auto"/>
        </w:rPr>
        <w:t>-------------------------------------------------------------- (b) Address of Principal Business Office, or if None, Residence:</w:t>
      </w:r>
    </w:p>
    <w:p>
      <w:pPr>
        <w:spacing w:after="0" w:line="16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1585 Broadway</w:t>
      </w:r>
    </w:p>
    <w:p>
      <w:pPr>
        <w:sectPr>
          <w:pgSz w:w="11900" w:h="16838" w:orient="portrait"/>
          <w:cols w:equalWidth="0" w:num="1">
            <w:col w:w="10219"/>
          </w:cols>
          <w:pgMar w:left="240" w:top="919" w:right="1440" w:bottom="1440" w:gutter="0" w:footer="0" w:header="0"/>
          <w:type w:val="continuous"/>
        </w:sectPr>
      </w:pPr>
    </w:p>
    <w:p>
      <w:pPr>
        <w:ind w:left="1900"/>
        <w:spacing w:after="0"/>
        <w:tabs>
          <w:tab w:leader="none" w:pos="2420" w:val="left"/>
        </w:tabs>
        <w:rPr>
          <w:sz w:val="20"/>
          <w:szCs w:val="20"/>
          <w:color w:val="auto"/>
        </w:rPr>
      </w:pPr>
      <w:r>
        <w:rPr>
          <w:rFonts w:ascii="Courier New" w:cs="Courier New" w:eastAsia="Courier New" w:hAnsi="Courier New"/>
          <w:sz w:val="18"/>
          <w:szCs w:val="18"/>
          <w:color w:val="auto"/>
        </w:rPr>
        <w:t>New</w:t>
      </w:r>
      <w:r>
        <w:rPr>
          <w:sz w:val="20"/>
          <w:szCs w:val="20"/>
          <w:color w:val="auto"/>
        </w:rPr>
        <w:tab/>
      </w:r>
      <w:r>
        <w:rPr>
          <w:rFonts w:ascii="Courier New" w:cs="Courier New" w:eastAsia="Courier New" w:hAnsi="Courier New"/>
          <w:sz w:val="16"/>
          <w:szCs w:val="16"/>
          <w:color w:val="auto"/>
        </w:rPr>
        <w:t>York, New</w:t>
      </w:r>
    </w:p>
    <w:p>
      <w:pPr>
        <w:spacing w:after="0" w:line="20" w:lineRule="exact"/>
        <w:rPr>
          <w:sz w:val="20"/>
          <w:szCs w:val="20"/>
          <w:color w:val="auto"/>
        </w:rPr>
      </w:pPr>
      <w:r>
        <w:rPr>
          <w:sz w:val="20"/>
          <w:szCs w:val="20"/>
          <w:color w:val="auto"/>
        </w:rPr>
        <w:br w:type="column"/>
      </w:r>
    </w:p>
    <w:p>
      <w:pPr>
        <w:jc w:val="center"/>
        <w:spacing w:after="0" w:line="238" w:lineRule="auto"/>
        <w:rPr>
          <w:sz w:val="20"/>
          <w:szCs w:val="20"/>
          <w:color w:val="auto"/>
        </w:rPr>
      </w:pPr>
      <w:r>
        <w:rPr>
          <w:rFonts w:ascii="Courier New" w:cs="Courier New" w:eastAsia="Courier New" w:hAnsi="Courier New"/>
          <w:sz w:val="18"/>
          <w:szCs w:val="18"/>
          <w:color w:val="auto"/>
        </w:rPr>
        <w:t>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10036</w:t>
      </w:r>
    </w:p>
    <w:p>
      <w:pPr>
        <w:spacing w:after="0" w:line="216" w:lineRule="exact"/>
        <w:rPr>
          <w:sz w:val="20"/>
          <w:szCs w:val="20"/>
          <w:color w:val="auto"/>
        </w:rPr>
      </w:pPr>
    </w:p>
    <w:p>
      <w:pPr>
        <w:sectPr>
          <w:pgSz w:w="11900" w:h="16838" w:orient="portrait"/>
          <w:cols w:equalWidth="0" w:num="3">
            <w:col w:w="3380" w:space="200"/>
            <w:col w:w="440" w:space="200"/>
            <w:col w:w="5999"/>
          </w:cols>
          <w:pgMar w:left="240" w:top="919" w:right="1440" w:bottom="1440" w:gutter="0" w:footer="0" w:header="0"/>
          <w:type w:val="continuous"/>
        </w:sectPr>
      </w:pP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Citizenship:</w:t>
      </w:r>
    </w:p>
    <w:p>
      <w:pPr>
        <w:ind w:left="2860"/>
        <w:spacing w:after="0"/>
        <w:tabs>
          <w:tab w:leader="none" w:pos="4300" w:val="left"/>
          <w:tab w:leader="none" w:pos="4720" w:val="left"/>
          <w:tab w:leader="none" w:pos="5880" w:val="left"/>
          <w:tab w:leader="none" w:pos="6300" w:val="left"/>
          <w:tab w:leader="none" w:pos="6940" w:val="left"/>
          <w:tab w:leader="none" w:pos="7260" w:val="left"/>
          <w:tab w:leader="none" w:pos="7680" w:val="left"/>
        </w:tabs>
        <w:rPr>
          <w:sz w:val="20"/>
          <w:szCs w:val="20"/>
          <w:color w:val="auto"/>
        </w:rPr>
      </w:pPr>
      <w:r>
        <w:rPr>
          <w:rFonts w:ascii="Courier New" w:cs="Courier New" w:eastAsia="Courier New" w:hAnsi="Courier New"/>
          <w:sz w:val="18"/>
          <w:szCs w:val="18"/>
          <w:color w:val="auto"/>
        </w:rPr>
        <w:t>Incorporated</w:t>
        <w:tab/>
        <w:t>by</w:t>
        <w:tab/>
        <w:t>reference</w:t>
        <w:tab/>
        <w:t>to</w:t>
        <w:tab/>
        <w:t>Item</w:t>
        <w:tab/>
        <w:t>4</w:t>
        <w:tab/>
        <w:t>of</w:t>
      </w:r>
      <w:r>
        <w:rPr>
          <w:sz w:val="20"/>
          <w:szCs w:val="20"/>
          <w:color w:val="auto"/>
        </w:rPr>
        <w:tab/>
      </w:r>
      <w:r>
        <w:rPr>
          <w:rFonts w:ascii="Courier New" w:cs="Courier New" w:eastAsia="Courier New" w:hAnsi="Courier New"/>
          <w:sz w:val="16"/>
          <w:szCs w:val="16"/>
          <w:color w:val="auto"/>
        </w:rPr>
        <w:t>the</w:t>
      </w:r>
    </w:p>
    <w:p>
      <w:pPr>
        <w:ind w:left="2860"/>
        <w:spacing w:after="0"/>
        <w:tabs>
          <w:tab w:leader="none" w:pos="4100" w:val="left"/>
          <w:tab w:leader="none" w:pos="5360" w:val="left"/>
          <w:tab w:leader="none" w:pos="5780" w:val="left"/>
          <w:tab w:leader="none" w:pos="6420" w:val="left"/>
          <w:tab w:leader="none" w:pos="7580" w:val="left"/>
        </w:tabs>
        <w:rPr>
          <w:sz w:val="20"/>
          <w:szCs w:val="20"/>
          <w:color w:val="auto"/>
        </w:rPr>
      </w:pPr>
      <w:r>
        <w:rPr>
          <w:rFonts w:ascii="Courier New" w:cs="Courier New" w:eastAsia="Courier New" w:hAnsi="Courier New"/>
          <w:sz w:val="18"/>
          <w:szCs w:val="18"/>
          <w:color w:val="auto"/>
        </w:rPr>
        <w:t>cover page</w:t>
        <w:tab/>
        <w:t>pertaining</w:t>
        <w:tab/>
        <w:t>to</w:t>
        <w:tab/>
        <w:t>each</w:t>
        <w:tab/>
        <w:t>reporting</w:t>
      </w:r>
      <w:r>
        <w:rPr>
          <w:sz w:val="20"/>
          <w:szCs w:val="20"/>
          <w:color w:val="auto"/>
        </w:rPr>
        <w:tab/>
      </w:r>
      <w:r>
        <w:rPr>
          <w:rFonts w:ascii="Courier New" w:cs="Courier New" w:eastAsia="Courier New" w:hAnsi="Courier New"/>
          <w:sz w:val="16"/>
          <w:szCs w:val="16"/>
          <w:color w:val="auto"/>
        </w:rPr>
        <w:t>person.</w:t>
      </w: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Title of Class of Securities:</w:t>
      </w:r>
    </w:p>
    <w:p>
      <w:pPr>
        <w:ind w:left="286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CUSIP Number:</w:t>
      </w:r>
    </w:p>
    <w:p>
      <w:pPr>
        <w:ind w:left="286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879" w:hanging="619"/>
        <w:spacing w:after="0" w:line="236" w:lineRule="auto"/>
        <w:rPr>
          <w:sz w:val="20"/>
          <w:szCs w:val="20"/>
          <w:color w:val="auto"/>
        </w:rPr>
      </w:pPr>
      <w:r>
        <w:rPr>
          <w:rFonts w:ascii="Courier New" w:cs="Courier New" w:eastAsia="Courier New" w:hAnsi="Courier New"/>
          <w:sz w:val="18"/>
          <w:szCs w:val="18"/>
          <w:color w:val="auto"/>
        </w:rPr>
        <w:t>(a)</w:t>
      </w:r>
      <w:r>
        <w:rPr>
          <w:sz w:val="20"/>
          <w:szCs w:val="20"/>
          <w:color w:val="auto"/>
        </w:rPr>
        <w:t xml:space="preserve"> </w:t>
      </w:r>
      <w:r>
        <w:rPr>
          <w:rFonts w:ascii="Courier New" w:cs="Courier New" w:eastAsia="Courier New" w:hAnsi="Courier New"/>
          <w:sz w:val="18"/>
          <w:szCs w:val="18"/>
          <w:color w:val="auto"/>
        </w:rPr>
        <w:t>Morgan Stanley Dean Witter &amp; Co. is (e) an Investment Adviser registered under Section 203 of the Investment Advisers Act of 1940.</w:t>
      </w:r>
    </w:p>
    <w:p>
      <w:pPr>
        <w:sectPr>
          <w:pgSz w:w="11900" w:h="16838" w:orient="portrait"/>
          <w:cols w:equalWidth="0" w:num="2">
            <w:col w:w="1180" w:space="720"/>
            <w:col w:w="8319"/>
          </w:cols>
          <w:pgMar w:left="240" w:top="919" w:right="1440" w:bottom="1440" w:gutter="0" w:footer="0" w:header="0"/>
          <w:type w:val="continuous"/>
        </w:sectPr>
      </w:pPr>
    </w:p>
    <w:bookmarkStart w:id="3" w:name="page4"/>
    <w:bookmarkEnd w:id="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313747206</w:t>
      </w:r>
    </w:p>
    <w:p>
      <w:pPr>
        <w:spacing w:after="0" w:line="20" w:lineRule="exact"/>
        <w:rPr>
          <w:sz w:val="20"/>
          <w:szCs w:val="20"/>
          <w:color w:val="auto"/>
        </w:rPr>
      </w:pPr>
      <w:r>
        <w:rPr>
          <w:sz w:val="20"/>
          <w:szCs w:val="20"/>
          <w:color w:val="auto"/>
        </w:rPr>
        <w:br w:type="column"/>
      </w:r>
    </w:p>
    <w:p>
      <w:pPr>
        <w:jc w:val="center"/>
        <w:ind w:right="128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of</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8"/>
          <w:szCs w:val="18"/>
          <w:color w:val="auto"/>
        </w:rPr>
        <w:t>6</w:t>
        <w:tab/>
        <w:t>Pages</w:t>
      </w:r>
    </w:p>
    <w:p>
      <w:pPr>
        <w:spacing w:after="0" w:line="200" w:lineRule="exact"/>
        <w:rPr>
          <w:sz w:val="20"/>
          <w:szCs w:val="20"/>
          <w:color w:val="auto"/>
        </w:rPr>
      </w:pPr>
    </w:p>
    <w:p>
      <w:pPr>
        <w:sectPr>
          <w:pgSz w:w="11900" w:h="16838" w:orient="portrait"/>
          <w:cols w:equalWidth="0" w:num="5">
            <w:col w:w="3180" w:space="720"/>
            <w:col w:w="1700" w:space="720"/>
            <w:col w:w="640" w:space="220"/>
            <w:col w:w="200" w:space="220"/>
            <w:col w:w="2619"/>
          </w:cols>
          <w:pgMar w:left="240" w:top="7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740" w:space="540"/>
            <w:col w:w="8939"/>
          </w:cols>
          <w:pgMar w:left="240" w:top="717"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reference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Items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 (9) and (11) of the</w:t>
      </w:r>
    </w:p>
    <w:p>
      <w:pPr>
        <w:spacing w:after="0" w:line="20" w:lineRule="exact"/>
        <w:rPr>
          <w:sz w:val="20"/>
          <w:szCs w:val="20"/>
          <w:color w:val="auto"/>
        </w:rPr>
      </w:pPr>
    </w:p>
    <w:p>
      <w:pPr>
        <w:sectPr>
          <w:pgSz w:w="11900" w:h="16838" w:orient="portrait"/>
          <w:cols w:equalWidth="0" w:num="6">
            <w:col w:w="2860" w:space="200"/>
            <w:col w:w="220" w:space="200"/>
            <w:col w:w="960" w:space="200"/>
            <w:col w:w="220" w:space="200"/>
            <w:col w:w="540" w:space="200"/>
            <w:col w:w="4419"/>
          </w:cols>
          <w:pgMar w:left="240" w:top="717"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6"/>
          <w:szCs w:val="16"/>
          <w:color w:val="auto"/>
        </w:rPr>
        <w:t>cover page.</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580"/>
        <w:spacing w:after="0" w:line="238" w:lineRule="auto"/>
        <w:rPr>
          <w:sz w:val="20"/>
          <w:szCs w:val="20"/>
          <w:color w:val="auto"/>
        </w:rPr>
      </w:pPr>
      <w:r>
        <w:rPr>
          <w:rFonts w:ascii="Courier New" w:cs="Courier New" w:eastAsia="Courier New" w:hAnsi="Courier New"/>
          <w:sz w:val="18"/>
          <w:szCs w:val="18"/>
          <w:color w:val="auto"/>
        </w:rPr>
        <w:t>Inapplicable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jc w:val="both"/>
        <w:ind w:left="1580" w:right="1779"/>
        <w:spacing w:after="0" w:line="237" w:lineRule="auto"/>
        <w:rPr>
          <w:sz w:val="20"/>
          <w:szCs w:val="20"/>
          <w:color w:val="auto"/>
        </w:rPr>
      </w:pPr>
      <w:r>
        <w:rPr>
          <w:rFonts w:ascii="Courier New" w:cs="Courier New" w:eastAsia="Courier New" w:hAnsi="Courier New"/>
          <w:sz w:val="18"/>
          <w:szCs w:val="18"/>
          <w:color w:val="auto"/>
        </w:rPr>
        <w:t>Accounts managed on a discretionary basis by Morgan Stanley Dean Witter &amp; Co. are known to have the right to receive or the power to direct the receipt of dividends from, or the proceeds from the sale of such securities. No such account holds more than 5 percent of the class.</w:t>
      </w:r>
    </w:p>
    <w:p>
      <w:pPr>
        <w:spacing w:after="0" w:line="209"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36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left="158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717"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CUSIP No. 313747206</w:t>
      </w:r>
    </w:p>
    <w:p>
      <w:pPr>
        <w:spacing w:after="0" w:line="20" w:lineRule="exact"/>
        <w:rPr>
          <w:sz w:val="20"/>
          <w:szCs w:val="20"/>
          <w:color w:val="auto"/>
        </w:rPr>
      </w:pPr>
      <w:r>
        <w:rPr>
          <w:sz w:val="20"/>
          <w:szCs w:val="20"/>
          <w:color w:val="auto"/>
        </w:rPr>
        <w:br w:type="column"/>
      </w:r>
    </w:p>
    <w:p>
      <w:pPr>
        <w:jc w:val="center"/>
        <w:ind w:right="128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 Pages</w:t>
      </w:r>
    </w:p>
    <w:p>
      <w:pPr>
        <w:spacing w:after="0" w:line="200" w:lineRule="exact"/>
        <w:rPr>
          <w:sz w:val="20"/>
          <w:szCs w:val="20"/>
          <w:color w:val="auto"/>
        </w:rPr>
      </w:pPr>
    </w:p>
    <w:p>
      <w:pPr>
        <w:sectPr>
          <w:pgSz w:w="11900" w:h="16838" w:orient="portrait"/>
          <w:cols w:equalWidth="0" w:num="5">
            <w:col w:w="3300" w:space="720"/>
            <w:col w:w="1700" w:space="720"/>
            <w:col w:w="620" w:space="220"/>
            <w:col w:w="200" w:space="220"/>
            <w:col w:w="2519"/>
          </w:cols>
          <w:pgMar w:left="240" w:top="520" w:right="1440" w:bottom="1440" w:gutter="0" w:footer="0" w:header="0"/>
        </w:sectPr>
      </w:pPr>
    </w:p>
    <w:p>
      <w:pPr>
        <w:spacing w:after="0" w:line="226"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1280"/>
        <w:spacing w:after="0" w:line="235" w:lineRule="auto"/>
        <w:rPr>
          <w:sz w:val="20"/>
          <w:szCs w:val="20"/>
          <w:color w:val="auto"/>
        </w:rPr>
      </w:pPr>
      <w:r>
        <w:rPr>
          <w:rFonts w:ascii="Courier New" w:cs="Courier New" w:eastAsia="Courier New" w:hAnsi="Courier New"/>
          <w:sz w:val="18"/>
          <w:szCs w:val="18"/>
          <w:color w:val="auto"/>
        </w:rPr>
        <w:t>After reasonable inquiry and to the best of my belief, I certify that the information 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firstLine="105"/>
        <w:spacing w:after="0" w:line="268" w:lineRule="auto"/>
        <w:rPr>
          <w:sz w:val="20"/>
          <w:szCs w:val="20"/>
          <w:color w:val="auto"/>
        </w:rPr>
      </w:pPr>
      <w:r>
        <w:rPr>
          <w:rFonts w:ascii="Courier New" w:cs="Courier New" w:eastAsia="Courier New" w:hAnsi="Courier New"/>
          <w:sz w:val="16"/>
          <w:szCs w:val="16"/>
          <w:color w:val="auto"/>
        </w:rPr>
        <w:t>knowledge forth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w:t>
      </w:r>
    </w:p>
    <w:p>
      <w:pPr>
        <w:spacing w:after="0" w:line="21" w:lineRule="exact"/>
        <w:rPr>
          <w:sz w:val="20"/>
          <w:szCs w:val="20"/>
          <w:color w:val="auto"/>
        </w:rPr>
      </w:pPr>
    </w:p>
    <w:p>
      <w:pPr>
        <w:sectPr>
          <w:pgSz w:w="11900" w:h="16838" w:orient="portrait"/>
          <w:cols w:equalWidth="0" w:num="3">
            <w:col w:w="6440" w:space="100"/>
            <w:col w:w="1060" w:space="100"/>
            <w:col w:w="2519"/>
          </w:cols>
          <w:pgMar w:left="240" w:top="520"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statement is true, complete and correct.</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 1999</w:t>
      </w:r>
    </w:p>
    <w:p>
      <w:pPr>
        <w:spacing w:after="0" w:line="216" w:lineRule="exact"/>
        <w:rPr>
          <w:sz w:val="20"/>
          <w:szCs w:val="20"/>
          <w:color w:val="auto"/>
        </w:rPr>
      </w:pPr>
    </w:p>
    <w:p>
      <w:pPr>
        <w:sectPr>
          <w:pgSz w:w="11900" w:h="16838" w:orient="portrait"/>
          <w:cols w:equalWidth="0" w:num="2">
            <w:col w:w="560" w:space="720"/>
            <w:col w:w="8939"/>
          </w:cols>
          <w:pgMar w:left="240" w:top="520"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Bruce Bromberg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Bruce Bromberg / Vice President Morgan Stanley &amp; Co. Incorporated ----------------------------------------------------------------- MORGAN STANLEY DEAN WITTER &amp; CO.</w:t>
      </w:r>
    </w:p>
    <w:p>
      <w:pPr>
        <w:spacing w:after="0" w:line="200" w:lineRule="exact"/>
        <w:rPr>
          <w:sz w:val="20"/>
          <w:szCs w:val="20"/>
          <w:color w:val="auto"/>
        </w:rPr>
      </w:pPr>
    </w:p>
    <w:p>
      <w:pPr>
        <w:sectPr>
          <w:pgSz w:w="11900" w:h="16838" w:orient="portrait"/>
          <w:cols w:equalWidth="0" w:num="2">
            <w:col w:w="1060" w:space="220"/>
            <w:col w:w="8939"/>
          </w:cols>
          <w:pgMar w:left="240" w:top="520" w:right="1440" w:bottom="1440" w:gutter="0" w:footer="0" w:header="0"/>
          <w:type w:val="continuous"/>
        </w:sectPr>
      </w:pPr>
    </w:p>
    <w:p>
      <w:pPr>
        <w:spacing w:after="0" w:line="21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INDEX TO EXHIBITS</w:t>
      </w:r>
    </w:p>
    <w:p>
      <w:pPr>
        <w:spacing w:after="0" w:line="2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40" w:space="720"/>
            <w:col w:w="315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Secretary's Certificate Authorizing Bruce Bromberg to Sign on behalf of Morgan Stanley Dean Witter &amp; Co.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w:t>
      </w:r>
    </w:p>
    <w:p>
      <w:pPr>
        <w:spacing w:after="0" w:line="456" w:lineRule="exact"/>
        <w:rPr>
          <w:sz w:val="20"/>
          <w:szCs w:val="20"/>
          <w:color w:val="auto"/>
        </w:rPr>
      </w:pPr>
    </w:p>
    <w:p>
      <w:pPr>
        <w:sectPr>
          <w:pgSz w:w="11900" w:h="16838" w:orient="portrait"/>
          <w:cols w:equalWidth="0" w:num="3">
            <w:col w:w="980" w:space="720"/>
            <w:col w:w="5580" w:space="100"/>
            <w:col w:w="2839"/>
          </w:cols>
          <w:pgMar w:left="240" w:top="520" w:right="1440" w:bottom="1440" w:gutter="0" w:footer="0" w:header="0"/>
          <w:type w:val="continuous"/>
        </w:sectPr>
      </w:pPr>
    </w:p>
    <w:p>
      <w:pPr>
        <w:spacing w:after="0" w:line="375" w:lineRule="exact"/>
        <w:rPr>
          <w:sz w:val="20"/>
          <w:szCs w:val="20"/>
          <w:color w:val="auto"/>
        </w:rPr>
      </w:pPr>
    </w:p>
    <w:p>
      <w:pPr>
        <w:ind w:left="220" w:right="1999" w:hanging="212"/>
        <w:spacing w:after="0" w:line="235"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(022597DTI)</w:t>
      </w:r>
    </w:p>
    <w:p>
      <w:pPr>
        <w:sectPr>
          <w:pgSz w:w="11900" w:h="16838" w:orient="portrait"/>
          <w:cols w:equalWidth="0" w:num="1">
            <w:col w:w="10219"/>
          </w:cols>
          <w:pgMar w:left="240" w:top="520" w:right="1440" w:bottom="1440" w:gutter="0" w:footer="0" w:header="0"/>
          <w:type w:val="continuous"/>
        </w:sectPr>
      </w:pPr>
    </w:p>
    <w:bookmarkStart w:id="5" w:name="page6"/>
    <w:bookmarkEnd w:id="5"/>
    <w:p>
      <w:pPr>
        <w:ind w:left="6440"/>
        <w:spacing w:after="0"/>
        <w:tabs>
          <w:tab w:leader="none" w:pos="7260" w:val="left"/>
          <w:tab w:leader="none" w:pos="7880" w:val="left"/>
        </w:tabs>
        <w:rPr>
          <w:sz w:val="20"/>
          <w:szCs w:val="20"/>
          <w:color w:val="auto"/>
        </w:rPr>
      </w:pPr>
      <w:r>
        <w:rPr>
          <w:rFonts w:ascii="Courier New" w:cs="Courier New" w:eastAsia="Courier New" w:hAnsi="Courier New"/>
          <w:sz w:val="18"/>
          <w:szCs w:val="18"/>
          <w:color w:val="auto"/>
        </w:rPr>
        <w:t>Page 6</w:t>
        <w:tab/>
        <w:t>of 6</w:t>
        <w:tab/>
        <w:t>Pages</w:t>
      </w:r>
    </w:p>
    <w:p>
      <w:pPr>
        <w:ind w:left="3580"/>
        <w:spacing w:after="0"/>
        <w:tabs>
          <w:tab w:leader="none" w:pos="652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MORGAN STANLEY, DEAN WITTER, DISCOVER &amp; CO.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SECRETARY'S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I, Charlene R. Herzer, a duly elected and acting Assistant Secretary of Morgan Stanley, Dean Witter, Discover &amp; Co., a corporation organized and existing under the laws of the State of Delaware (the "Corporation"), certify that as approved by a Unanimous Consent of Directors in Lieu of a Meeting dated as of May 31, 1997, the following persons are each authorized to sign reports to be filed under Sections 13 and 16 of the Securities Exchange Act of 1934 on behalf of the Corporation, and such authorizations are in full force and effect as of this date:</w:t>
      </w: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Stuart J.M. Breslow</w:t>
      </w:r>
    </w:p>
    <w:p>
      <w:pPr>
        <w:ind w:left="3060"/>
        <w:spacing w:after="0" w:line="238" w:lineRule="auto"/>
        <w:rPr>
          <w:sz w:val="20"/>
          <w:szCs w:val="20"/>
          <w:color w:val="auto"/>
        </w:rPr>
      </w:pPr>
      <w:r>
        <w:rPr>
          <w:rFonts w:ascii="Courier New" w:cs="Courier New" w:eastAsia="Courier New" w:hAnsi="Courier New"/>
          <w:sz w:val="18"/>
          <w:szCs w:val="18"/>
          <w:color w:val="auto"/>
        </w:rPr>
        <w:t>Robert G. Koppenol</w:t>
      </w:r>
    </w:p>
    <w:p>
      <w:pPr>
        <w:ind w:left="3060"/>
        <w:spacing w:after="0"/>
        <w:rPr>
          <w:sz w:val="20"/>
          <w:szCs w:val="20"/>
          <w:color w:val="auto"/>
        </w:rPr>
      </w:pPr>
      <w:r>
        <w:rPr>
          <w:rFonts w:ascii="Courier New" w:cs="Courier New" w:eastAsia="Courier New" w:hAnsi="Courier New"/>
          <w:sz w:val="18"/>
          <w:szCs w:val="18"/>
          <w:color w:val="auto"/>
        </w:rPr>
        <w:t>Bruce Bromberg</w:t>
      </w:r>
    </w:p>
    <w:p>
      <w:pPr>
        <w:ind w:left="3060"/>
        <w:spacing w:after="0" w:line="237" w:lineRule="auto"/>
        <w:rPr>
          <w:sz w:val="20"/>
          <w:szCs w:val="20"/>
          <w:color w:val="auto"/>
        </w:rPr>
      </w:pPr>
      <w:r>
        <w:rPr>
          <w:rFonts w:ascii="Courier New" w:cs="Courier New" w:eastAsia="Courier New" w:hAnsi="Courier New"/>
          <w:sz w:val="18"/>
          <w:szCs w:val="18"/>
          <w:color w:val="auto"/>
        </w:rPr>
        <w:t>Robin Sherak</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IN WITNESS WHEREOF, I have hereunto set my name and affixed the seal of the Corporation as of the 3rd day of June, 1997.</w:t>
      </w:r>
    </w:p>
    <w:p>
      <w:pPr>
        <w:spacing w:after="0" w:line="200" w:lineRule="exact"/>
        <w:rPr>
          <w:sz w:val="20"/>
          <w:szCs w:val="20"/>
          <w:color w:val="auto"/>
        </w:rPr>
      </w:pPr>
    </w:p>
    <w:p>
      <w:pPr>
        <w:spacing w:after="0" w:line="205"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/s/ Charlene R. Herzer</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Charlene R. Herzer</w:t>
      </w:r>
    </w:p>
    <w:p>
      <w:pPr>
        <w:ind w:left="4740"/>
        <w:spacing w:after="0" w:line="237" w:lineRule="auto"/>
        <w:rPr>
          <w:sz w:val="20"/>
          <w:szCs w:val="20"/>
          <w:color w:val="auto"/>
        </w:rPr>
      </w:pPr>
      <w:r>
        <w:rPr>
          <w:rFonts w:ascii="Courier New" w:cs="Courier New" w:eastAsia="Courier New" w:hAnsi="Courier New"/>
          <w:sz w:val="18"/>
          <w:szCs w:val="18"/>
          <w:color w:val="auto"/>
        </w:rPr>
        <w:t>Assistant Secretaty</w:t>
      </w:r>
    </w:p>
    <w:sectPr>
      <w:pgSz w:w="11900" w:h="16838" w:orient="portrait"/>
      <w:cols w:equalWidth="0" w:num="1">
        <w:col w:w="10219"/>
      </w:cols>
      <w:pgMar w:left="240" w:top="9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2."/>
      <w:numFmt w:val="decimal"/>
      <w:start w:val="1"/>
    </w:lvl>
  </w:abstractNum>
  <w:abstractNum w:abstractNumId="1">
    <w:nsid w:val="2EB141F2"/>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
    <w:nsid w:val="41B71EFB"/>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
    <w:nsid w:val="79E2A9E3"/>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4">
    <w:nsid w:val="7545E146"/>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5">
    <w:nsid w:val="515F007C"/>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6">
    <w:nsid w:val="5BD062C2"/>
    <w:multiLevelType w:val="hybridMultilevel"/>
    <w:lvl w:ilvl="0">
      <w:lvlJc w:val="left"/>
      <w:lvlText w:val="-"/>
      <w:numFmt w:val="bullet"/>
      <w:start w:val="1"/>
    </w:lvl>
    <w:lvl w:ilvl="1">
      <w:lvlJc w:val="left"/>
      <w:lvlText w:val="%2."/>
      <w:numFmt w:val="decimal"/>
      <w:start w:val="10"/>
    </w:lvl>
  </w:abstractNum>
  <w:abstractNum w:abstractNumId="7">
    <w:nsid w:val="12200854"/>
    <w:multiLevelType w:val="hybridMultilevel"/>
    <w:lvl w:ilvl="0">
      <w:lvlJc w:val="left"/>
      <w:lvlText w:val="-"/>
      <w:numFmt w:val="bullet"/>
      <w:start w:val="1"/>
    </w:lvl>
    <w:lvl w:ilvl="1">
      <w:lvlJc w:val="left"/>
      <w:lvlText w:val="%2."/>
      <w:numFmt w:val="decimal"/>
      <w:start w:val="1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2019-12-13T00:52:57Z</dcterms:created>
  <dcterms:modified xsi:type="dcterms:W3CDTF">2019-12-13T00:52:57Z</dcterms:modified>
</cp:coreProperties>
</file>