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As filed with the Securities and Exchange Commission on January 5, 2022</w:t>
      </w:r>
    </w:p>
    <w:p>
      <w:pPr>
        <w:spacing w:after="0" w:line="27"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jc w:val="center"/>
        <w:ind w:right="-17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00" w:type="dxa"/>
            <w:vAlign w:val="bottom"/>
          </w:tcPr>
          <w:p>
            <w:pPr>
              <w:jc w:val="center"/>
              <w:ind w:right="1942"/>
              <w:spacing w:after="0"/>
              <w:rPr>
                <w:sz w:val="20"/>
                <w:szCs w:val="20"/>
                <w:color w:val="auto"/>
              </w:rPr>
            </w:pPr>
            <w:r>
              <w:rPr>
                <w:rFonts w:ascii="Arial" w:cs="Arial" w:eastAsia="Arial" w:hAnsi="Arial"/>
                <w:sz w:val="18"/>
                <w:szCs w:val="18"/>
                <w:b w:val="1"/>
                <w:bCs w:val="1"/>
                <w:color w:val="auto"/>
                <w:w w:val="96"/>
              </w:rPr>
              <w:t>Maryland</w:t>
            </w:r>
          </w:p>
        </w:tc>
        <w:tc>
          <w:tcPr>
            <w:tcW w:w="3160" w:type="dxa"/>
            <w:vAlign w:val="bottom"/>
          </w:tcPr>
          <w:p>
            <w:pPr>
              <w:jc w:val="center"/>
              <w:ind w:left="1962"/>
              <w:spacing w:after="0"/>
              <w:rPr>
                <w:sz w:val="20"/>
                <w:szCs w:val="20"/>
                <w:color w:val="auto"/>
              </w:rPr>
            </w:pPr>
            <w:r>
              <w:rPr>
                <w:rFonts w:ascii="Arial" w:cs="Arial" w:eastAsia="Arial" w:hAnsi="Arial"/>
                <w:sz w:val="18"/>
                <w:szCs w:val="18"/>
                <w:b w:val="1"/>
                <w:bCs w:val="1"/>
                <w:color w:val="auto"/>
                <w:w w:val="91"/>
              </w:rPr>
              <w:t>87-3916363</w:t>
            </w:r>
          </w:p>
        </w:tc>
      </w:tr>
      <w:tr>
        <w:trPr>
          <w:trHeight w:val="148"/>
        </w:trPr>
        <w:tc>
          <w:tcPr>
            <w:tcW w:w="3900" w:type="dxa"/>
            <w:vAlign w:val="bottom"/>
          </w:tcPr>
          <w:p>
            <w:pPr>
              <w:jc w:val="center"/>
              <w:ind w:right="1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60" w:type="dxa"/>
            <w:vAlign w:val="bottom"/>
          </w:tcPr>
          <w:p>
            <w:pPr>
              <w:jc w:val="center"/>
              <w:ind w:left="19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00" w:type="dxa"/>
            <w:vAlign w:val="bottom"/>
          </w:tcPr>
          <w:p>
            <w:pPr>
              <w:jc w:val="center"/>
              <w:ind w:right="1942"/>
              <w:spacing w:after="0"/>
              <w:rPr>
                <w:sz w:val="20"/>
                <w:szCs w:val="20"/>
                <w:color w:val="auto"/>
              </w:rPr>
            </w:pPr>
            <w:r>
              <w:rPr>
                <w:rFonts w:ascii="Arial" w:cs="Arial" w:eastAsia="Arial" w:hAnsi="Arial"/>
                <w:sz w:val="14"/>
                <w:szCs w:val="14"/>
                <w:b w:val="1"/>
                <w:bCs w:val="1"/>
                <w:color w:val="auto"/>
                <w:w w:val="94"/>
              </w:rPr>
              <w:t>incorporation or organization)</w:t>
            </w:r>
          </w:p>
        </w:tc>
        <w:tc>
          <w:tcPr>
            <w:tcW w:w="3160" w:type="dxa"/>
            <w:vAlign w:val="bottom"/>
          </w:tcPr>
          <w:p>
            <w:pPr>
              <w:jc w:val="center"/>
              <w:ind w:left="196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909 Rose Ave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North Bethesda, Maryland 20852</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of the securities to the public: </w:t>
      </w:r>
      <w:r>
        <w:rPr>
          <w:rFonts w:ascii="Arial" w:cs="Arial" w:eastAsia="Arial" w:hAnsi="Arial"/>
          <w:sz w:val="18"/>
          <w:szCs w:val="18"/>
          <w:color w:val="auto"/>
        </w:rPr>
        <w:t>From time to time following the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w:t>
      </w:r>
    </w:p>
    <w:p>
      <w:pPr>
        <w:spacing w:after="0" w:line="166" w:lineRule="exact"/>
        <w:rPr>
          <w:sz w:val="24"/>
          <w:szCs w:val="24"/>
          <w:color w:val="auto"/>
        </w:rPr>
      </w:pPr>
    </w:p>
    <w:p>
      <w:pPr>
        <w:ind w:left="120" w:right="660" w:firstLine="44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left="120" w:right="120" w:firstLine="440"/>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220" w:firstLine="44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left="120" w:right="140" w:firstLine="44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120" w:firstLine="4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80"/>
          </w:cols>
          <w:pgMar w:left="320" w:top="230" w:right="499" w:bottom="63" w:gutter="0" w:footer="0" w:header="0"/>
        </w:sectPr>
      </w:pPr>
    </w:p>
    <w:bookmarkStart w:id="1" w:name="page2"/>
    <w:bookmarkEnd w:id="1"/>
    <w:p>
      <w:pPr>
        <w:ind w:left="4" w:right="720" w:firstLine="440"/>
        <w:spacing w:after="0" w:line="233"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82"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Price(1)</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$0.01 par value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720,929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$134.99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$97,318,206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$9,021</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200" w:hanging="424"/>
        <w:spacing w:after="0" w:line="258"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December 28, 2021.</w:t>
      </w:r>
    </w:p>
    <w:p>
      <w:pPr>
        <w:ind w:left="424" w:right="80" w:hanging="424"/>
        <w:spacing w:after="0" w:line="252"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May 7, 2021, Federal Realty OP LP (formerly known as Federal Realty Investment Trust, the “Predecessor”) filed a registration statement on Form S-3 (Registration No. 333-255881) (the “Prior Registration Statement”) relating to the registration of 729,769 common shares. On January 3, 2022, the Prior Registration Statement was terminated. The common shares being registered hereunder consist entirely of unsold common shares previously registered under the Prior Registration Statement. Accordingly, pursuant to Rule 457(p) under the Securities Act, the Registrant, which is the successor and parent company of the Predecessor, is offsetting the registration fee of $9,201 due hereunder by $9,201 associated with such unsold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5"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171450</wp:posOffset>
            </wp:positionV>
            <wp:extent cx="221170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117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Dividend Reinvestment and Share Purchase Plan</w:t>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720,929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Dividend Reinvestment and Share Purchase Plan, which we refer to as the Plan, provides record holders of our common shares of beneficial interest, as well as other interested investors, with a convenient and economical way to acquire common shares.</w:t>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HIGHLIGHTS</w:t>
      </w:r>
    </w:p>
    <w:p>
      <w:pPr>
        <w:spacing w:after="0" w:line="135" w:lineRule="exact"/>
        <w:rPr>
          <w:sz w:val="20"/>
          <w:szCs w:val="20"/>
          <w:color w:val="auto"/>
        </w:rPr>
      </w:pPr>
    </w:p>
    <w:p>
      <w:pPr>
        <w:ind w:left="1080" w:right="2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automatically reinvesting all or a portion of the cash dividends paid on your common shares.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making optional cash investments from $25 to $10,000 per month.</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common shares of beneficial interest and depositary shares representing interests in our Series C preferred shares of beneficial interest are listed on the New York Stock Exchange under the symbols “FRT” and “FRTPRC,” respectively. On January 4, 2022, the last reported sales price of our common shares, as reported on the New York Stock Exchange, was $139.37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5 of this prospectus.</w:t>
      </w:r>
    </w:p>
    <w:p>
      <w:pPr>
        <w:spacing w:after="0" w:line="215"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date of this prospectus is January 5, 2022.</w:t>
      </w:r>
    </w:p>
    <w:p>
      <w:pPr>
        <w:sectPr>
          <w:pgSz w:w="11900" w:h="16838" w:orient="portrait"/>
          <w:cols w:equalWidth="0" w:num="1">
            <w:col w:w="11020"/>
          </w:cols>
          <w:pgMar w:left="320" w:top="459" w:right="5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QUESTIONS CONCERNING THE PLAN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address all correspondence concerning the Plan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Federal Realty Investment Trust should be mentioned in all correspondence and Plan participants should give the number of their account.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American Stock Transfer &amp; Trust Company, LLC may be reached by telephone at (718) 921-8283 or (877) 611-8039.</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20"/>
          </w:cols>
          <w:pgMar w:left="320" w:top="459" w:right="10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0" w:type="dxa"/>
            <w:vAlign w:val="bottom"/>
          </w:tcPr>
          <w:p>
            <w:pPr>
              <w:jc w:val="right"/>
              <w:ind w:right="441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580" w:type="dxa"/>
            <w:vAlign w:val="bottom"/>
            <w:tcBorders>
              <w:bottom w:val="single" w:sz="8" w:color="0000EE"/>
            </w:tcBorders>
            <w:gridSpan w:val="15"/>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About this Prospectus</w:t>
              </w:r>
            </w:hyperlink>
          </w:p>
        </w:tc>
        <w:tc>
          <w:tcPr>
            <w:tcW w:w="2380" w:type="dxa"/>
            <w:vAlign w:val="bottom"/>
            <w:gridSpan w:val="10"/>
          </w:tcPr>
          <w:p>
            <w:pPr>
              <w:spacing w:after="0"/>
              <w:rPr>
                <w:sz w:val="16"/>
                <w:szCs w:val="16"/>
                <w:color w:val="auto"/>
              </w:rPr>
            </w:pPr>
          </w:p>
        </w:tc>
        <w:tc>
          <w:tcPr>
            <w:tcW w:w="700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5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2440" w:type="dxa"/>
            <w:vAlign w:val="bottom"/>
            <w:gridSpan w:val="1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1860" w:type="dxa"/>
            <w:vAlign w:val="bottom"/>
            <w:gridSpan w:val="6"/>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1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The Plan</w:t>
              </w:r>
            </w:hyperlink>
          </w:p>
        </w:tc>
        <w:tc>
          <w:tcPr>
            <w:tcW w:w="2800" w:type="dxa"/>
            <w:vAlign w:val="bottom"/>
            <w:gridSpan w:val="1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80" w:type="dxa"/>
            <w:vAlign w:val="bottom"/>
            <w:tcBorders>
              <w:bottom w:val="single" w:sz="8" w:color="0000EE"/>
            </w:tcBorders>
            <w:gridSpan w:val="6"/>
          </w:tcPr>
          <w:p>
            <w:pPr>
              <w:spacing w:after="0" w:line="196" w:lineRule="exact"/>
              <w:rPr>
                <w:rFonts w:ascii="Arial" w:cs="Arial" w:eastAsia="Arial" w:hAnsi="Arial"/>
                <w:sz w:val="18"/>
                <w:szCs w:val="18"/>
                <w:color w:val="0000EE"/>
                <w:w w:val="83"/>
              </w:rPr>
            </w:pPr>
            <w:hyperlink w:anchor="page9">
              <w:r>
                <w:rPr>
                  <w:rFonts w:ascii="Arial" w:cs="Arial" w:eastAsia="Arial" w:hAnsi="Arial"/>
                  <w:sz w:val="18"/>
                  <w:szCs w:val="18"/>
                  <w:color w:val="0000EE"/>
                  <w:w w:val="83"/>
                </w:rPr>
                <w:t>Purpose</w:t>
              </w:r>
            </w:hyperlink>
          </w:p>
        </w:tc>
        <w:tc>
          <w:tcPr>
            <w:tcW w:w="3020" w:type="dxa"/>
            <w:vAlign w:val="bottom"/>
            <w:gridSpan w:val="1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54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Participation Options</w:t>
              </w:r>
            </w:hyperlink>
          </w:p>
        </w:tc>
        <w:tc>
          <w:tcPr>
            <w:tcW w:w="2060" w:type="dxa"/>
            <w:vAlign w:val="bottom"/>
            <w:gridSpan w:val="8"/>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Benefits and Disadvantages</w:t>
              </w:r>
            </w:hyperlink>
          </w:p>
        </w:tc>
        <w:tc>
          <w:tcPr>
            <w:tcW w:w="1600" w:type="dxa"/>
            <w:vAlign w:val="bottom"/>
            <w:gridSpan w:val="4"/>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Eligibility</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Administration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Participation</w:t>
              </w:r>
            </w:hyperlink>
          </w:p>
        </w:tc>
        <w:tc>
          <w:tcPr>
            <w:tcW w:w="160" w:type="dxa"/>
            <w:vAlign w:val="bottom"/>
            <w:tcBorders>
              <w:top w:val="single" w:sz="8" w:color="0000EE"/>
            </w:tcBorders>
          </w:tcPr>
          <w:p>
            <w:pPr>
              <w:spacing w:after="0"/>
              <w:rPr>
                <w:sz w:val="17"/>
                <w:szCs w:val="17"/>
                <w:color w:val="auto"/>
              </w:rPr>
            </w:pPr>
          </w:p>
        </w:tc>
        <w:tc>
          <w:tcPr>
            <w:tcW w:w="2520" w:type="dxa"/>
            <w:vAlign w:val="bottom"/>
            <w:gridSpan w:val="1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00" w:type="dxa"/>
            <w:vAlign w:val="bottom"/>
            <w:tcBorders>
              <w:bottom w:val="single" w:sz="8" w:color="0000EE"/>
            </w:tcBorders>
            <w:gridSpan w:val="3"/>
          </w:tcPr>
          <w:p>
            <w:pPr>
              <w:spacing w:after="0" w:line="196" w:lineRule="exact"/>
              <w:rPr>
                <w:rFonts w:ascii="Arial" w:cs="Arial" w:eastAsia="Arial" w:hAnsi="Arial"/>
                <w:sz w:val="18"/>
                <w:szCs w:val="18"/>
                <w:color w:val="0000EE"/>
                <w:w w:val="82"/>
              </w:rPr>
            </w:pPr>
            <w:hyperlink w:anchor="page13">
              <w:r>
                <w:rPr>
                  <w:rFonts w:ascii="Arial" w:cs="Arial" w:eastAsia="Arial" w:hAnsi="Arial"/>
                  <w:sz w:val="18"/>
                  <w:szCs w:val="18"/>
                  <w:color w:val="0000EE"/>
                  <w:w w:val="82"/>
                </w:rPr>
                <w:t>Costs</w:t>
              </w:r>
            </w:hyperlink>
          </w:p>
        </w:tc>
        <w:tc>
          <w:tcPr>
            <w:tcW w:w="3200" w:type="dxa"/>
            <w:vAlign w:val="bottom"/>
            <w:gridSpan w:val="21"/>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302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Purchases and Optional Cash Investments</w:t>
              </w:r>
            </w:hyperlink>
          </w:p>
        </w:tc>
        <w:tc>
          <w:tcPr>
            <w:tcW w:w="580" w:type="dxa"/>
            <w:vAlign w:val="bottom"/>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5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5">
              <w:r>
                <w:rPr>
                  <w:rFonts w:ascii="Arial" w:cs="Arial" w:eastAsia="Arial" w:hAnsi="Arial"/>
                  <w:sz w:val="18"/>
                  <w:szCs w:val="18"/>
                  <w:color w:val="0000EE"/>
                  <w:w w:val="85"/>
                </w:rPr>
                <w:t>Reports</w:t>
              </w:r>
            </w:hyperlink>
          </w:p>
        </w:tc>
        <w:tc>
          <w:tcPr>
            <w:tcW w:w="3040" w:type="dxa"/>
            <w:vAlign w:val="bottom"/>
            <w:gridSpan w:val="19"/>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Dividends</w:t>
              </w:r>
            </w:hyperlink>
          </w:p>
        </w:tc>
        <w:tc>
          <w:tcPr>
            <w:tcW w:w="2860" w:type="dxa"/>
            <w:vAlign w:val="bottom"/>
            <w:gridSpan w:val="1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Certificates for Shares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00" w:type="dxa"/>
            <w:vAlign w:val="bottom"/>
            <w:gridSpan w:val="2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Withdrawal from the Plan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Other Information</w:t>
              </w:r>
            </w:hyperlink>
          </w:p>
        </w:tc>
        <w:tc>
          <w:tcPr>
            <w:tcW w:w="540" w:type="dxa"/>
            <w:vAlign w:val="bottom"/>
            <w:tcBorders>
              <w:top w:val="single" w:sz="8" w:color="0000EE"/>
            </w:tcBorders>
            <w:gridSpan w:val="4"/>
          </w:tcPr>
          <w:p>
            <w:pPr>
              <w:spacing w:after="0"/>
              <w:rPr>
                <w:sz w:val="17"/>
                <w:szCs w:val="17"/>
                <w:color w:val="auto"/>
              </w:rPr>
            </w:pPr>
          </w:p>
        </w:tc>
        <w:tc>
          <w:tcPr>
            <w:tcW w:w="1740" w:type="dxa"/>
            <w:vAlign w:val="bottom"/>
            <w:gridSpan w:val="5"/>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2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Material Federal Income Tax Considerations</w:t>
              </w:r>
            </w:hyperlink>
          </w:p>
        </w:tc>
        <w:tc>
          <w:tcPr>
            <w:tcW w:w="740" w:type="dxa"/>
            <w:vAlign w:val="bottom"/>
            <w:gridSpan w:val="2"/>
          </w:tcPr>
          <w:p>
            <w:pPr>
              <w:spacing w:after="0"/>
              <w:rPr>
                <w:sz w:val="17"/>
                <w:szCs w:val="17"/>
                <w:color w:val="auto"/>
              </w:rPr>
            </w:pPr>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Experts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Matters</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1000" w:type="dxa"/>
            <w:vAlign w:val="bottom"/>
            <w:gridSpan w:val="8"/>
            <w:shd w:val="clear" w:color="auto" w:fill="0000EE"/>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196"/>
        </w:trPr>
        <w:tc>
          <w:tcPr>
            <w:tcW w:w="396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Where You Can Find More Information</w:t>
              </w:r>
            </w:hyperlink>
          </w:p>
        </w:tc>
        <w:tc>
          <w:tcPr>
            <w:tcW w:w="70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“Company” refers to Federal Realty Investment Trust.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i w:val="1"/>
          <w:iCs w:val="1"/>
          <w:color w:val="auto"/>
        </w:rPr>
        <w:t>The following summary is qualified in its entirety by the more detailed information and consolidated financial statements and notes thereto contained elsewhere in or incorporated by reference into this prospectus. This summary may omit information that may be important to you. You should carefully read the entire text of this prospectus, including the Plan beginning on page 4 of this prospectus, before you decide to participate in the Plan.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an equity real estate investment trust (“REIT”) specializing in the ownership, management, and redevelopment of retail</w:t>
      </w:r>
    </w:p>
    <w:p>
      <w:pPr>
        <w:spacing w:after="0" w:line="23"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and mixed-use properties. Our properties are located primarily in communities where we believe retail demand exceeds supply, in strategically selected metropolitan markets in the Mid-Atlantic and Northeast regions of the United States, California, and South Florida.</w:t>
      </w:r>
    </w:p>
    <w:p>
      <w:pPr>
        <w:spacing w:after="0" w:line="185"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Prior to January 1, 2022, the Company’s business was conducted through a predecessor entity also known as Federal Realty Investment Trust (the “Predecessor”). The Predecessor was founded in 1962 as a REIT under the laws of the District of Columbia and re-formed as a real estate investment trust under the laws of the State of Maryland in 1999. On December 2, 2021, the Predecessor’s Board of Trustees approved the reorganization of the Predecessor’s business into an umbrella partnership real estate investment trust, or “UPREIT.” To effect the UPREIT reorganization, the Predecessor formed a wholly-owned subsidiary real estate investment trust (“Holdco”), and Holdco formed its own wholly-owned subsidiary real estate investment trust (“Merger Sub”). Holdco also formed a wholly-owned subsidiary limited liability company known as Federal Realty GP LLC (the “General Partner”). Effective as of January 1, 2022, Merger Sub merged with and into the Predecessor, with the Predecessor being the surviving entity and becoming a wholly-owned subsidiary of Holdco (the “Merger”). At the effective time of the Merger, each outstanding capital share of the Predecessor was converted into one equivalent capital share of Holdco. Effective as of January 5, 2022, the Predecessor converted into a Delaware limited partnership known as Federal Realty OP LP, the entity we refer to herein as the Partnership. In connection with the UPREIT reorganization, Holdco changed its name to Federal Realty Investment Trust, the entity we refer to herein as the Company. The Company had the same consolidated assets and liabilities immediately following the Merger as the Predecessor immediately before the Merger. The General Partner is the sole general partner of the Partnership, and the Company owns 100% of the limited liability company interests of, is the sole member of and exercises exclusive control over the General Partner. Following the UPREIT reorganization described above, the Company expects to conduct its business through the Partnership and does not expect to have substantial assets or liabilities other than through its investment in the Partnership. In connection with the Merger, the Company assumed all of the Predecessor’s rights and obligations under the Plan.</w:t>
      </w:r>
    </w:p>
    <w:p>
      <w:pPr>
        <w:spacing w:after="0" w:line="1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As of September 30, 2021, we owned or had a majority interest in community and neighborhood shopping centers and mixed-use properties which are operated as 106 predominantly retail real estate projects comprising approximately 25.4 million square feet. In total, the real estate projects</w:t>
      </w:r>
    </w:p>
    <w:p>
      <w:pPr>
        <w:ind w:left="120"/>
        <w:spacing w:after="0" w:line="260" w:lineRule="auto"/>
        <w:rPr>
          <w:sz w:val="20"/>
          <w:szCs w:val="20"/>
          <w:color w:val="auto"/>
        </w:rPr>
      </w:pPr>
      <w:r>
        <w:rPr>
          <w:rFonts w:ascii="Arial" w:cs="Arial" w:eastAsia="Arial" w:hAnsi="Arial"/>
          <w:sz w:val="18"/>
          <w:szCs w:val="18"/>
          <w:color w:val="auto"/>
        </w:rPr>
        <w:t>were 92.8% leased and 90.2% occupied at September 30, 2021. We have paid quarterly dividends to our shareholders continuously since our founding in 1962 and have increased our dividends per common share for 54 consecutive years.</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qualifies for taxation as a REIT pursuant to the Internal Revenue Code of 1986, as amended, or the “Code,” and we intend to operate in a manner that will allow us to maintain such qualification.</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 xml:space="preserve">Our principal executive offices are located at 909 Rose Ave., Suite 200, North Bethesda, MD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Plan</w:t>
      </w:r>
    </w:p>
    <w:p>
      <w:pPr>
        <w:sectPr>
          <w:pgSz w:w="11900" w:h="16838" w:orient="portrait"/>
          <w:cols w:equalWidth="0" w:num="1">
            <w:col w:w="11120"/>
          </w:cols>
          <w:pgMar w:left="320" w:top="459" w:right="45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Enrollment: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 xml:space="preserve">Our existing shareholders can participate in the Plan by submitting a completed authorization form or by completing the enrollment procedures specified on the website of the Plan’s administrator, American Stock Transfer&amp; Trust Company, LLC, or AST, at </w:t>
      </w:r>
      <w:r>
        <w:rPr>
          <w:rFonts w:ascii="Arial" w:cs="Arial" w:eastAsia="Arial" w:hAnsi="Arial"/>
          <w:sz w:val="16"/>
          <w:szCs w:val="16"/>
          <w:i w:val="1"/>
          <w:iCs w:val="1"/>
          <w:color w:val="auto"/>
        </w:rPr>
        <w:t>www.astfinancial.com</w:t>
      </w:r>
      <w:r>
        <w:rPr>
          <w:rFonts w:ascii="Arial" w:cs="Arial" w:eastAsia="Arial" w:hAnsi="Arial"/>
          <w:sz w:val="16"/>
          <w:szCs w:val="16"/>
          <w:color w:val="auto"/>
        </w:rPr>
        <w:t>. Please see Questions 6 and 7 for more detailed information.</w:t>
      </w:r>
    </w:p>
    <w:p>
      <w:pPr>
        <w:spacing w:after="0" w:line="37" w:lineRule="exact"/>
        <w:rPr>
          <w:sz w:val="20"/>
          <w:szCs w:val="20"/>
          <w:color w:val="auto"/>
        </w:rPr>
      </w:pPr>
    </w:p>
    <w:p>
      <w:pPr>
        <w:sectPr>
          <w:pgSz w:w="11900" w:h="16838" w:orient="portrait"/>
          <w:cols w:equalWidth="0" w:num="2">
            <w:col w:w="1940" w:space="720"/>
            <w:col w:w="84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b w:val="1"/>
          <w:bCs w:val="1"/>
          <w:color w:val="auto"/>
        </w:rPr>
        <w:t>Initial Investment:</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If you do not own any of our common shares, you may be able to participate in the Plan by making an 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120" w:lineRule="exact"/>
        <w:rPr>
          <w:sz w:val="20"/>
          <w:szCs w:val="20"/>
          <w:color w:val="auto"/>
        </w:rPr>
      </w:pPr>
    </w:p>
    <w:p>
      <w:pPr>
        <w:sectPr>
          <w:pgSz w:w="11900" w:h="16838" w:orient="portrait"/>
          <w:cols w:equalWidth="0" w:num="2">
            <w:col w:w="1940" w:space="720"/>
            <w:col w:w="84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120"/>
          </w:cols>
          <w:pgMar w:left="320" w:top="459"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100" w:type="dxa"/>
            <w:vAlign w:val="bottom"/>
          </w:tcPr>
          <w:p>
            <w:pPr>
              <w:spacing w:after="0"/>
              <w:rPr>
                <w:sz w:val="17"/>
                <w:szCs w:val="17"/>
                <w:color w:val="auto"/>
              </w:rPr>
            </w:pPr>
          </w:p>
        </w:tc>
        <w:tc>
          <w:tcPr>
            <w:tcW w:w="8660" w:type="dxa"/>
            <w:vAlign w:val="bottom"/>
          </w:tcPr>
          <w:p>
            <w:pPr>
              <w:spacing w:after="0"/>
              <w:rPr>
                <w:sz w:val="17"/>
                <w:szCs w:val="17"/>
                <w:color w:val="auto"/>
              </w:rPr>
            </w:pPr>
          </w:p>
        </w:tc>
      </w:tr>
      <w:tr>
        <w:trPr>
          <w:trHeight w:val="519"/>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w w:val="97"/>
              </w:rPr>
              <w:t>Reinvestment of Dividends:</w:t>
            </w:r>
          </w:p>
        </w:tc>
        <w:tc>
          <w:tcPr>
            <w:tcW w:w="8660" w:type="dxa"/>
            <w:vAlign w:val="bottom"/>
          </w:tcPr>
          <w:p>
            <w:pPr>
              <w:ind w:left="200"/>
              <w:spacing w:after="0"/>
              <w:rPr>
                <w:sz w:val="20"/>
                <w:szCs w:val="20"/>
                <w:color w:val="auto"/>
              </w:rPr>
            </w:pPr>
            <w:r>
              <w:rPr>
                <w:rFonts w:ascii="Arial" w:cs="Arial" w:eastAsia="Arial" w:hAnsi="Arial"/>
                <w:sz w:val="18"/>
                <w:szCs w:val="18"/>
                <w:color w:val="auto"/>
                <w:w w:val="96"/>
              </w:rPr>
              <w:t>You can reinvest your cash dividends on all or a portion of your common shares. You will be able to purchase</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4"/>
              </w:rPr>
              <w:t>additional common shares by reinvesting your dividends. The Plan administrator will report cost basis to both the</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3"/>
              </w:rPr>
              <w:t>participants in the Plan and the Internal Revenue Service, or the IRS. The common reporting method applicable to</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0"/>
              </w:rPr>
              <w:t>dividend reinvestment plans is the average basis method. In order to use this method, the plan requires shareholders</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3"/>
              </w:rPr>
              <w:t>to reinvest a minimum of 10% of their dividend each scheduled disbursement date. If your account falls under the</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7"/>
              </w:rPr>
              <w:t>10% mandatory threshold, you will be sent a notification outlining your alternatives for dividend reinvestment.</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Please see Question 2 for more detailed information.</w:t>
            </w:r>
          </w:p>
        </w:tc>
      </w:tr>
      <w:tr>
        <w:trPr>
          <w:trHeight w:val="310"/>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w w:val="97"/>
              </w:rPr>
              <w:t>Optional Cash Investments:</w:t>
            </w:r>
          </w:p>
        </w:tc>
        <w:tc>
          <w:tcPr>
            <w:tcW w:w="8660" w:type="dxa"/>
            <w:vAlign w:val="bottom"/>
          </w:tcPr>
          <w:p>
            <w:pPr>
              <w:ind w:left="200"/>
              <w:spacing w:after="0"/>
              <w:rPr>
                <w:sz w:val="20"/>
                <w:szCs w:val="20"/>
                <w:color w:val="auto"/>
              </w:rPr>
            </w:pPr>
            <w:r>
              <w:rPr>
                <w:rFonts w:ascii="Arial" w:cs="Arial" w:eastAsia="Arial" w:hAnsi="Arial"/>
                <w:sz w:val="18"/>
                <w:szCs w:val="18"/>
                <w:color w:val="auto"/>
                <w:w w:val="94"/>
              </w:rPr>
              <w:t>After your enrollment in the Plan, you can buy additional common shares. You can invest a minimum of $25 to a</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maximum of $10,000 in any one month.</w:t>
            </w:r>
          </w:p>
        </w:tc>
      </w:tr>
      <w:tr>
        <w:trPr>
          <w:trHeight w:val="310"/>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rPr>
              <w:t>Source of Shares:</w:t>
            </w:r>
          </w:p>
        </w:tc>
        <w:tc>
          <w:tcPr>
            <w:tcW w:w="8660" w:type="dxa"/>
            <w:vAlign w:val="bottom"/>
          </w:tcPr>
          <w:p>
            <w:pPr>
              <w:ind w:left="200"/>
              <w:spacing w:after="0"/>
              <w:rPr>
                <w:sz w:val="20"/>
                <w:szCs w:val="20"/>
                <w:color w:val="auto"/>
              </w:rPr>
            </w:pPr>
            <w:r>
              <w:rPr>
                <w:rFonts w:ascii="Arial" w:cs="Arial" w:eastAsia="Arial" w:hAnsi="Arial"/>
                <w:sz w:val="18"/>
                <w:szCs w:val="18"/>
                <w:color w:val="auto"/>
                <w:w w:val="94"/>
              </w:rPr>
              <w:t>Initially, the administrator of the Plan will purchase our common shares directly from us as newly issued common</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2"/>
              </w:rPr>
              <w:t>shares. We may, at our election, also direct the Plan administrator to acquire shares for use under the Plan through</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open market transactions. Please see Question 10 for more detailed information.</w:t>
            </w:r>
          </w:p>
        </w:tc>
      </w:tr>
      <w:tr>
        <w:trPr>
          <w:trHeight w:val="310"/>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 Price:</w:t>
            </w:r>
          </w:p>
        </w:tc>
        <w:tc>
          <w:tcPr>
            <w:tcW w:w="8660" w:type="dxa"/>
            <w:vAlign w:val="bottom"/>
          </w:tcPr>
          <w:p>
            <w:pPr>
              <w:ind w:left="200"/>
              <w:spacing w:after="0"/>
              <w:rPr>
                <w:sz w:val="20"/>
                <w:szCs w:val="20"/>
                <w:color w:val="auto"/>
              </w:rPr>
            </w:pPr>
            <w:r>
              <w:rPr>
                <w:rFonts w:ascii="Arial" w:cs="Arial" w:eastAsia="Arial" w:hAnsi="Arial"/>
                <w:sz w:val="18"/>
                <w:szCs w:val="18"/>
                <w:color w:val="auto"/>
                <w:w w:val="96"/>
              </w:rPr>
              <w:t>Under the Plan, with respect to reinvested dividends and optional cash investments, the purchase price for our</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3"/>
              </w:rPr>
              <w:t>common shares that the administrator purchases directly from us will equal 100% of the average of the daily high</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0"/>
              </w:rPr>
              <w:t>and low sales prices for common shares reported by the New York Stock Exchange for the period of five trading days</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2"/>
              </w:rPr>
              <w:t>ending on the day of purchase. The purchase price for common shares purchased by the administrator in the open</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89"/>
              </w:rPr>
              <w:t>market will equal the weighted average purchase price paid for the shares on the relevant investment date. Please see</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Question 13 for more detailed information.</w:t>
            </w:r>
          </w:p>
        </w:tc>
      </w:tr>
      <w:tr>
        <w:trPr>
          <w:trHeight w:val="445"/>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89"/>
              </w:rPr>
              <w:t>Optional cash investments of less than $25 and that portion of any optional cash investments that exceed $10,000 in a</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particular month will be returned to the participant without interest.</w:t>
            </w:r>
          </w:p>
        </w:tc>
      </w:tr>
      <w:tr>
        <w:trPr>
          <w:trHeight w:val="319"/>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Administration and Plan</w:t>
            </w:r>
          </w:p>
        </w:tc>
        <w:tc>
          <w:tcPr>
            <w:tcW w:w="8660" w:type="dxa"/>
            <w:vAlign w:val="bottom"/>
          </w:tcPr>
          <w:p>
            <w:pPr>
              <w:ind w:left="200"/>
              <w:spacing w:after="0"/>
              <w:rPr>
                <w:sz w:val="20"/>
                <w:szCs w:val="20"/>
                <w:color w:val="auto"/>
              </w:rPr>
            </w:pPr>
            <w:r>
              <w:rPr>
                <w:rFonts w:ascii="Arial" w:cs="Arial" w:eastAsia="Arial" w:hAnsi="Arial"/>
                <w:sz w:val="18"/>
                <w:szCs w:val="18"/>
                <w:color w:val="auto"/>
              </w:rPr>
              <w:t>AST initially will serve as the administrator and registered transfer agent of the Plan. You should send all</w:t>
            </w:r>
          </w:p>
        </w:tc>
      </w:tr>
      <w:tr>
        <w:trPr>
          <w:trHeight w:val="234"/>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rPr>
              <w:t>Administrator:</w:t>
            </w:r>
          </w:p>
        </w:tc>
        <w:tc>
          <w:tcPr>
            <w:tcW w:w="8660" w:type="dxa"/>
            <w:vAlign w:val="bottom"/>
          </w:tcPr>
          <w:p>
            <w:pPr>
              <w:ind w:left="200"/>
              <w:spacing w:after="0"/>
              <w:rPr>
                <w:sz w:val="20"/>
                <w:szCs w:val="20"/>
                <w:color w:val="auto"/>
              </w:rPr>
            </w:pPr>
            <w:r>
              <w:rPr>
                <w:rFonts w:ascii="Arial" w:cs="Arial" w:eastAsia="Arial" w:hAnsi="Arial"/>
                <w:sz w:val="18"/>
                <w:szCs w:val="18"/>
                <w:color w:val="auto"/>
              </w:rPr>
              <w:t>correspondence with the administrator to:</w:t>
            </w:r>
          </w:p>
        </w:tc>
      </w:tr>
      <w:tr>
        <w:trPr>
          <w:trHeight w:val="445"/>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6201 15th Avenue</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Brooklyn, New York 11219</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Attention: Shareholder Relations Department</w:t>
            </w:r>
          </w:p>
        </w:tc>
      </w:tr>
      <w:tr>
        <w:trPr>
          <w:trHeight w:val="459"/>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You should send all completed enrollment forms, payments and other documents for processing to:</w:t>
            </w:r>
          </w:p>
        </w:tc>
      </w:tr>
      <w:tr>
        <w:trPr>
          <w:trHeight w:val="445"/>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Wall Street Station</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P.O. Box 922</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New York, NY 10269-0560</w:t>
            </w:r>
          </w:p>
        </w:tc>
      </w:tr>
      <w:tr>
        <w:trPr>
          <w:trHeight w:val="445"/>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8"/>
              </w:rPr>
              <w:t>Please mention Federal Realty Investment Trust and this Plan in all correspondence. You may call the Plan</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administrator at (718) 921-8283 or (877) 611-8039. Please see Question 5 for more detailed information.</w:t>
            </w:r>
          </w:p>
        </w:tc>
      </w:tr>
      <w:tr>
        <w:trPr>
          <w:trHeight w:val="323"/>
        </w:trPr>
        <w:tc>
          <w:tcPr>
            <w:tcW w:w="2460" w:type="dxa"/>
            <w:vAlign w:val="bottom"/>
            <w:gridSpan w:val="2"/>
          </w:tcPr>
          <w:p>
            <w:pPr>
              <w:ind w:left="120"/>
              <w:spacing w:after="0"/>
              <w:rPr>
                <w:sz w:val="20"/>
                <w:szCs w:val="20"/>
                <w:color w:val="auto"/>
              </w:rPr>
            </w:pPr>
            <w:r>
              <w:rPr>
                <w:rFonts w:ascii="Arial" w:cs="Arial" w:eastAsia="Arial" w:hAnsi="Arial"/>
                <w:sz w:val="18"/>
                <w:szCs w:val="18"/>
                <w:b w:val="1"/>
                <w:bCs w:val="1"/>
                <w:color w:val="auto"/>
              </w:rPr>
              <w:t>Tracking Your Investment:</w:t>
            </w:r>
          </w:p>
        </w:tc>
        <w:tc>
          <w:tcPr>
            <w:tcW w:w="8660" w:type="dxa"/>
            <w:vAlign w:val="bottom"/>
          </w:tcPr>
          <w:p>
            <w:pPr>
              <w:ind w:left="200"/>
              <w:spacing w:after="0"/>
              <w:rPr>
                <w:sz w:val="20"/>
                <w:szCs w:val="20"/>
                <w:color w:val="auto"/>
              </w:rPr>
            </w:pPr>
            <w:r>
              <w:rPr>
                <w:rFonts w:ascii="Arial" w:cs="Arial" w:eastAsia="Arial" w:hAnsi="Arial"/>
                <w:sz w:val="18"/>
                <w:szCs w:val="18"/>
                <w:color w:val="auto"/>
                <w:w w:val="93"/>
              </w:rPr>
              <w:t>You will receive periodic statements of the transactions made in your Plan account. These statements will provide</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1"/>
              </w:rPr>
              <w:t>you with details of the transactions and will indicate the share balance in your Plan account. Please see Question 16</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for more detailed information.</w:t>
            </w:r>
          </w:p>
        </w:tc>
      </w:tr>
      <w:tr>
        <w:trPr>
          <w:trHeight w:val="445"/>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6"/>
              </w:rPr>
              <w:t>You may also track your Plan account through AST’s interactive voice response system (IVR) by calling (877)</w:t>
            </w:r>
          </w:p>
        </w:tc>
      </w:tr>
      <w:tr>
        <w:trPr>
          <w:trHeight w:val="216"/>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2"/>
              </w:rPr>
              <w:t xml:space="preserve">611-8039, or over the Internet through AST’s website at </w:t>
            </w:r>
            <w:r>
              <w:rPr>
                <w:rFonts w:ascii="Arial" w:cs="Arial" w:eastAsia="Arial" w:hAnsi="Arial"/>
                <w:sz w:val="18"/>
                <w:szCs w:val="18"/>
                <w:i w:val="1"/>
                <w:iCs w:val="1"/>
                <w:color w:val="auto"/>
                <w:w w:val="92"/>
              </w:rPr>
              <w:t>www.astfinancial.com</w:t>
            </w:r>
            <w:r>
              <w:rPr>
                <w:rFonts w:ascii="Arial" w:cs="Arial" w:eastAsia="Arial" w:hAnsi="Arial"/>
                <w:sz w:val="18"/>
                <w:szCs w:val="18"/>
                <w:color w:val="auto"/>
                <w:w w:val="92"/>
              </w:rPr>
              <w:t>. You will need a password to access</w:t>
            </w:r>
          </w:p>
        </w:tc>
      </w:tr>
      <w:tr>
        <w:trPr>
          <w:trHeight w:val="230"/>
        </w:trPr>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w w:val="96"/>
              </w:rPr>
              <w:t>your Plan account information over the Internet. Please see Questions 6 and 14 for more detailed information.</w:t>
            </w:r>
          </w:p>
        </w:tc>
      </w:tr>
      <w:tr>
        <w:trPr>
          <w:trHeight w:val="378"/>
        </w:trPr>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60" w:type="dxa"/>
            <w:vAlign w:val="bottom"/>
          </w:tcPr>
          <w:p>
            <w:pPr>
              <w:ind w:left="3120"/>
              <w:spacing w:after="0"/>
              <w:rPr>
                <w:sz w:val="20"/>
                <w:szCs w:val="20"/>
                <w:color w:val="auto"/>
              </w:rPr>
            </w:pPr>
            <w:r>
              <w:rPr>
                <w:rFonts w:ascii="Arial" w:cs="Arial" w:eastAsia="Arial" w:hAnsi="Arial"/>
                <w:sz w:val="18"/>
                <w:szCs w:val="18"/>
                <w:color w:val="auto"/>
              </w:rPr>
              <w:t>4</w:t>
            </w:r>
          </w:p>
        </w:tc>
      </w:tr>
    </w:tbl>
    <w:p>
      <w:pPr>
        <w:ind w:left="3120"/>
        <w:spacing w:after="0"/>
        <w:rPr>
          <w:sz w:val="20"/>
          <w:szCs w:val="20"/>
          <w:color w:val="auto"/>
        </w:rPr>
        <w:sectPr>
          <w:pgSz w:w="11900" w:h="16838" w:orient="portrait"/>
          <w:cols w:equalWidth="0" w:num="1">
            <w:col w:w="11120"/>
          </w:cols>
          <w:pgMar w:left="320" w:top="446"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Investing in our securities involves risks. Before making an investment decision, please consider the risks described under the caption “Risk Factors” in our Annual Report on Form 10-K for the fiscal year ended December 31, 2020,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This prospectus and the documents incorporated by reference into this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“Securities Act,” Section 21E of the Securities Exchange Act of 1934, as amended, or the “Exchange Act,” and the Private Securities Litigation Reform Act of 1995. In particular, the risk factors included and incorporated by reference into this prospectus describe forward-looking information. The risk factors, including those in our Annual Report on Form 10-K for the year ended December 31, 2020, filed with the SEC on February 11, 2021,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192" w:lineRule="exact"/>
        <w:rPr>
          <w:sz w:val="20"/>
          <w:szCs w:val="20"/>
          <w:color w:val="auto"/>
        </w:rPr>
      </w:pPr>
    </w:p>
    <w:p>
      <w:pPr>
        <w:ind w:left="1080" w:right="150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97"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21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210" w:lineRule="exact"/>
        <w:rPr>
          <w:rFonts w:ascii="Arial" w:cs="Arial" w:eastAsia="Arial" w:hAnsi="Arial"/>
          <w:sz w:val="18"/>
          <w:szCs w:val="18"/>
          <w:color w:val="auto"/>
        </w:rPr>
      </w:pPr>
    </w:p>
    <w:p>
      <w:pPr>
        <w:ind w:left="1080" w:hanging="424"/>
        <w:spacing w:after="0" w:line="275"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03"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252"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311"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Company’s status as a real estate investment trust, commonly referred to as a REIT, for federal income tax purposes, such as the existence of complex tax regulations relating to the Company’s status as a REIT, the effect of future changes in REIT requirements as a result of new legislation, and the adverse consequences of the failure to qualify as a REIT; and</w:t>
      </w:r>
    </w:p>
    <w:p>
      <w:pPr>
        <w:spacing w:after="0" w:line="175" w:lineRule="exact"/>
        <w:rPr>
          <w:rFonts w:ascii="Arial" w:cs="Arial" w:eastAsia="Arial" w:hAnsi="Arial"/>
          <w:sz w:val="16"/>
          <w:szCs w:val="16"/>
          <w:color w:val="auto"/>
        </w:rPr>
      </w:pPr>
    </w:p>
    <w:p>
      <w:pPr>
        <w:ind w:left="1080" w:right="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into this prospectus. We also make no promise to update any of the forward-looking statements, or to publicly release the results if we revise any of them.</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will use the net proceeds from the sale of common shares pursuant to the Plan, when and as received, to repay indebtedness, acquire additional properties, develop and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36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Plan is set forth and explained in the following questions and answers.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What is the purpose of the Plan?</w:t>
      </w:r>
    </w:p>
    <w:p>
      <w:pPr>
        <w:spacing w:after="0" w:line="121" w:lineRule="exact"/>
        <w:rPr>
          <w:sz w:val="20"/>
          <w:szCs w:val="20"/>
          <w:color w:val="auto"/>
        </w:rPr>
      </w:pPr>
    </w:p>
    <w:p>
      <w:pPr>
        <w:jc w:val="both"/>
        <w:ind w:left="120" w:right="340" w:firstLine="440"/>
        <w:spacing w:after="0" w:line="286" w:lineRule="auto"/>
        <w:rPr>
          <w:sz w:val="20"/>
          <w:szCs w:val="20"/>
          <w:color w:val="auto"/>
        </w:rPr>
      </w:pPr>
      <w:r>
        <w:rPr>
          <w:rFonts w:ascii="Arial" w:cs="Arial" w:eastAsia="Arial" w:hAnsi="Arial"/>
          <w:sz w:val="17"/>
          <w:szCs w:val="17"/>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as described under “Use of Proceeds.”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What are my investment options under the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participating in the Plan, you may buy common shares through any of the following investment options:</w:t>
      </w:r>
    </w:p>
    <w:p>
      <w:pPr>
        <w:spacing w:after="0" w:line="248" w:lineRule="exact"/>
        <w:rPr>
          <w:sz w:val="20"/>
          <w:szCs w:val="20"/>
          <w:color w:val="auto"/>
        </w:rPr>
      </w:pPr>
    </w:p>
    <w:p>
      <w:pPr>
        <w:ind w:left="1080" w:right="100" w:hanging="424"/>
        <w:spacing w:after="0" w:line="347"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Full Dividend Reinvestment. </w:t>
      </w:r>
      <w:r>
        <w:rPr>
          <w:rFonts w:ascii="Arial" w:cs="Arial" w:eastAsia="Arial" w:hAnsi="Arial"/>
          <w:sz w:val="16"/>
          <w:szCs w:val="16"/>
          <w:color w:val="auto"/>
        </w:rPr>
        <w:t>You may reinvest the cash dividends paid on all of your common shares in additional common shares. This</w:t>
      </w:r>
      <w:r>
        <w:rPr>
          <w:rFonts w:ascii="Arial" w:cs="Arial" w:eastAsia="Arial" w:hAnsi="Arial"/>
          <w:sz w:val="16"/>
          <w:szCs w:val="16"/>
          <w:b w:val="1"/>
          <w:bCs w:val="1"/>
          <w:color w:val="auto"/>
        </w:rPr>
        <w:t xml:space="preserve"> </w:t>
      </w:r>
      <w:r>
        <w:rPr>
          <w:rFonts w:ascii="Arial" w:cs="Arial" w:eastAsia="Arial" w:hAnsi="Arial"/>
          <w:sz w:val="16"/>
          <w:szCs w:val="16"/>
          <w:color w:val="auto"/>
        </w:rPr>
        <w:t>option also permits you to make optional cash investments from $25 to $10,000 per month to buy additional common shares.</w:t>
      </w:r>
    </w:p>
    <w:p>
      <w:pPr>
        <w:spacing w:after="0" w:line="142" w:lineRule="exact"/>
        <w:rPr>
          <w:rFonts w:ascii="Arial" w:cs="Arial" w:eastAsia="Arial" w:hAnsi="Arial"/>
          <w:sz w:val="16"/>
          <w:szCs w:val="16"/>
          <w:color w:val="auto"/>
        </w:rPr>
      </w:pPr>
    </w:p>
    <w:p>
      <w:pPr>
        <w:ind w:left="1080" w:hanging="424"/>
        <w:spacing w:after="0" w:line="29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Partial Dividend Reinvestment. </w:t>
      </w:r>
      <w:r>
        <w:rPr>
          <w:rFonts w:ascii="Arial" w:cs="Arial" w:eastAsia="Arial" w:hAnsi="Arial"/>
          <w:sz w:val="16"/>
          <w:szCs w:val="16"/>
          <w:color w:val="auto"/>
        </w:rPr>
        <w:t>You may reinvest cash dividends paid on a number of your common shares in additional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 The Plan administrator will report cost basis to both the participants in the Plan and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61"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 Only. </w:t>
      </w:r>
      <w:r>
        <w:rPr>
          <w:rFonts w:ascii="Arial" w:cs="Arial" w:eastAsia="Arial" w:hAnsi="Arial"/>
          <w:sz w:val="18"/>
          <w:szCs w:val="18"/>
          <w:color w:val="auto"/>
        </w:rPr>
        <w:t>You may choose not to reinvest any cash dividends paid on your common shares, but remain enrolled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and Disadvantages</w:t>
      </w:r>
    </w:p>
    <w:p>
      <w:pPr>
        <w:spacing w:after="0" w:line="117" w:lineRule="exact"/>
        <w:rPr>
          <w:sz w:val="20"/>
          <w:szCs w:val="20"/>
          <w:color w:val="auto"/>
        </w:rPr>
      </w:pPr>
    </w:p>
    <w:p>
      <w:pPr>
        <w:ind w:left="560" w:right="6740" w:hanging="444"/>
        <w:spacing w:after="0" w:line="385" w:lineRule="auto"/>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benefits and disadvantages of the Plan? </w:t>
      </w:r>
      <w:r>
        <w:rPr>
          <w:rFonts w:ascii="Arial" w:cs="Arial" w:eastAsia="Arial" w:hAnsi="Arial"/>
          <w:sz w:val="18"/>
          <w:szCs w:val="18"/>
          <w:i w:val="1"/>
          <w:iCs w:val="1"/>
          <w:color w:val="auto"/>
        </w:rPr>
        <w:t>Benefits</w:t>
      </w:r>
    </w:p>
    <w:p>
      <w:pPr>
        <w:spacing w:after="0" w:line="1" w:lineRule="exact"/>
        <w:rPr>
          <w:rFonts w:ascii="Arial" w:cs="Arial" w:eastAsia="Arial" w:hAnsi="Arial"/>
          <w:sz w:val="18"/>
          <w:szCs w:val="18"/>
          <w:b w:val="1"/>
          <w:bCs w:val="1"/>
          <w:color w:val="auto"/>
        </w:rPr>
      </w:pPr>
    </w:p>
    <w:p>
      <w:pPr>
        <w:ind w:left="1080" w:hanging="424"/>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not pay brokerage commissions or service fees to purchase common shares through the Plan.</w:t>
      </w:r>
    </w:p>
    <w:p>
      <w:pPr>
        <w:spacing w:after="0" w:line="252" w:lineRule="exact"/>
        <w:rPr>
          <w:rFonts w:ascii="Arial" w:cs="Arial" w:eastAsia="Arial" w:hAnsi="Arial"/>
          <w:sz w:val="18"/>
          <w:szCs w:val="18"/>
          <w:color w:val="auto"/>
        </w:rPr>
      </w:pPr>
    </w:p>
    <w:p>
      <w:pPr>
        <w:ind w:left="1080" w:hanging="424"/>
        <w:spacing w:after="0" w:line="263"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210" w:lineRule="exact"/>
        <w:rPr>
          <w:rFonts w:ascii="Arial" w:cs="Arial" w:eastAsia="Arial" w:hAnsi="Arial"/>
          <w:sz w:val="18"/>
          <w:szCs w:val="18"/>
          <w:color w:val="auto"/>
        </w:rPr>
      </w:pPr>
    </w:p>
    <w:p>
      <w:pPr>
        <w:ind w:left="1080" w:hanging="424"/>
        <w:spacing w:after="0"/>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may join without being a current shareholder.</w:t>
      </w:r>
    </w:p>
    <w:p>
      <w:pPr>
        <w:spacing w:after="0" w:line="25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Your share certificates will be held for safekeeping by the administrator, ensuring your protection against loss, theft or destruction of the certificates representing your common shares.</w:t>
      </w:r>
    </w:p>
    <w:p>
      <w:pPr>
        <w:spacing w:after="0" w:line="197" w:lineRule="exact"/>
        <w:rPr>
          <w:rFonts w:ascii="Arial" w:cs="Arial" w:eastAsia="Arial" w:hAnsi="Arial"/>
          <w:sz w:val="18"/>
          <w:szCs w:val="18"/>
          <w:color w:val="auto"/>
        </w:rPr>
      </w:pPr>
    </w:p>
    <w:p>
      <w:pPr>
        <w:ind w:left="1080" w:right="80" w:hanging="424"/>
        <w:spacing w:after="0" w:line="263" w:lineRule="auto"/>
        <w:tabs>
          <w:tab w:leader="none" w:pos="1080" w:val="left"/>
        </w:tabs>
        <w:numPr>
          <w:ilvl w:val="1"/>
          <w:numId w:val="7"/>
        </w:numPr>
        <w:rPr>
          <w:rFonts w:ascii="Arial" w:cs="Arial" w:eastAsia="Arial" w:hAnsi="Arial"/>
          <w:sz w:val="18"/>
          <w:szCs w:val="18"/>
          <w:color w:val="auto"/>
        </w:rPr>
      </w:pPr>
      <w:r>
        <w:rPr>
          <w:rFonts w:ascii="Arial" w:cs="Arial" w:eastAsia="Arial" w:hAnsi="Arial"/>
          <w:sz w:val="18"/>
          <w:szCs w:val="18"/>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website.</w:t>
      </w:r>
    </w:p>
    <w:p>
      <w:pPr>
        <w:spacing w:after="0" w:line="210" w:lineRule="exact"/>
        <w:rPr>
          <w:rFonts w:ascii="Arial" w:cs="Arial" w:eastAsia="Arial" w:hAnsi="Arial"/>
          <w:sz w:val="18"/>
          <w:szCs w:val="18"/>
          <w:color w:val="auto"/>
        </w:rPr>
      </w:pPr>
    </w:p>
    <w:p>
      <w:pPr>
        <w:ind w:left="1080" w:right="20" w:hanging="424"/>
        <w:spacing w:after="0" w:line="342" w:lineRule="auto"/>
        <w:tabs>
          <w:tab w:leader="none" w:pos="1080" w:val="left"/>
        </w:tabs>
        <w:numPr>
          <w:ilvl w:val="1"/>
          <w:numId w:val="7"/>
        </w:numPr>
        <w:rPr>
          <w:rFonts w:ascii="Arial" w:cs="Arial" w:eastAsia="Arial" w:hAnsi="Arial"/>
          <w:sz w:val="16"/>
          <w:szCs w:val="16"/>
          <w:color w:val="auto"/>
        </w:rPr>
      </w:pPr>
      <w:r>
        <w:rPr>
          <w:rFonts w:ascii="Arial" w:cs="Arial" w:eastAsia="Arial" w:hAnsi="Arial"/>
          <w:sz w:val="16"/>
          <w:szCs w:val="16"/>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150" w:lineRule="exact"/>
        <w:rPr>
          <w:rFonts w:ascii="Arial" w:cs="Arial" w:eastAsia="Arial" w:hAnsi="Arial"/>
          <w:sz w:val="16"/>
          <w:szCs w:val="16"/>
          <w:color w:val="auto"/>
        </w:rPr>
      </w:pPr>
    </w:p>
    <w:p>
      <w:pPr>
        <w:ind w:left="1080" w:hanging="424"/>
        <w:spacing w:after="0"/>
        <w:tabs>
          <w:tab w:leader="none" w:pos="10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At any time, you may direct the administrator to sell or transfer all or a portion of the common shares held in your Plan account.</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Disadvantages</w:t>
      </w:r>
    </w:p>
    <w:p>
      <w:pPr>
        <w:spacing w:after="0" w:line="131" w:lineRule="exact"/>
        <w:rPr>
          <w:sz w:val="20"/>
          <w:szCs w:val="20"/>
          <w:color w:val="auto"/>
        </w:rPr>
      </w:pPr>
    </w:p>
    <w:p>
      <w:pPr>
        <w:ind w:left="1080" w:right="2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Without giving you prior notice, we may direct the administrator to buy common shares under the Plan either directly from us or in open market transactions.</w:t>
      </w:r>
    </w:p>
    <w:p>
      <w:pPr>
        <w:spacing w:after="0" w:line="197" w:lineRule="exact"/>
        <w:rPr>
          <w:rFonts w:ascii="Arial" w:cs="Arial" w:eastAsia="Arial" w:hAnsi="Arial"/>
          <w:sz w:val="18"/>
          <w:szCs w:val="18"/>
          <w:color w:val="auto"/>
        </w:rPr>
      </w:pPr>
    </w:p>
    <w:p>
      <w:pPr>
        <w:ind w:left="1080" w:right="20" w:hanging="424"/>
        <w:spacing w:after="0" w:line="273"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current and accumulated earnings and profits. Accordingly, you may have a tax liability without a corresponding distribution of cash with which to pay the liability when it comes due.</w:t>
      </w:r>
    </w:p>
    <w:p>
      <w:pPr>
        <w:spacing w:after="0" w:line="204"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paid for the shares on any date may be greater than the price at which shares are then trading.</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common shares held in your Plan account may take up to five business days to process.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pay brokerage commissions or trading and transaction fees on the sale of common shares held in your Plan account.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administrator will not pay interest on funds that it holds pending reinvestment or investment.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not pledge common shares deposited in your Plan account unless you withdraw the common shares from the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Who is eligible to participate in the Plan?</w:t>
      </w:r>
    </w:p>
    <w:p>
      <w:pPr>
        <w:spacing w:after="0" w:line="121" w:lineRule="exact"/>
        <w:rPr>
          <w:sz w:val="20"/>
          <w:szCs w:val="20"/>
          <w:color w:val="auto"/>
        </w:rPr>
      </w:pPr>
    </w:p>
    <w:p>
      <w:pPr>
        <w:jc w:val="both"/>
        <w:ind w:left="120" w:right="140" w:firstLine="440"/>
        <w:spacing w:after="0" w:line="257" w:lineRule="auto"/>
        <w:rPr>
          <w:sz w:val="20"/>
          <w:szCs w:val="20"/>
          <w:color w:val="auto"/>
        </w:rPr>
      </w:pPr>
      <w:r>
        <w:rPr>
          <w:rFonts w:ascii="Arial" w:cs="Arial" w:eastAsia="Arial" w:hAnsi="Arial"/>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A broker, bank or other nominee who wishes to participate in the Plan may do so but only with respect to all common shares held by the broker, bank or nominee.</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6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Exclusion from Plan for short-term trading or other practices. </w:t>
      </w:r>
      <w:r>
        <w:rPr>
          <w:rFonts w:ascii="Arial" w:cs="Arial" w:eastAsia="Arial" w:hAnsi="Arial"/>
          <w:sz w:val="17"/>
          <w:szCs w:val="17"/>
          <w:color w:val="auto"/>
        </w:rPr>
        <w:t>You should not use the Plan to engage in short-term trading activities that could</w:t>
      </w:r>
      <w:r>
        <w:rPr>
          <w:rFonts w:ascii="Arial" w:cs="Arial" w:eastAsia="Arial" w:hAnsi="Arial"/>
          <w:sz w:val="17"/>
          <w:szCs w:val="17"/>
          <w:i w:val="1"/>
          <w:iCs w:val="1"/>
          <w:color w:val="auto"/>
        </w:rPr>
        <w:t xml:space="preserve"> </w:t>
      </w:r>
      <w:r>
        <w:rPr>
          <w:rFonts w:ascii="Arial" w:cs="Arial" w:eastAsia="Arial" w:hAnsi="Arial"/>
          <w:sz w:val="17"/>
          <w:szCs w:val="17"/>
          <w:color w:val="auto"/>
        </w:rPr>
        <w:t>change the 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Who administers the Plan for the participants?</w:t>
      </w:r>
    </w:p>
    <w:p>
      <w:pPr>
        <w:spacing w:after="0" w:line="121" w:lineRule="exact"/>
        <w:rPr>
          <w:sz w:val="20"/>
          <w:szCs w:val="20"/>
          <w:color w:val="auto"/>
        </w:rPr>
      </w:pPr>
    </w:p>
    <w:p>
      <w:pPr>
        <w:ind w:left="120" w:right="500" w:firstLine="440"/>
        <w:spacing w:after="0" w:line="275" w:lineRule="auto"/>
        <w:rPr>
          <w:sz w:val="20"/>
          <w:szCs w:val="20"/>
          <w:color w:val="auto"/>
        </w:rPr>
      </w:pPr>
      <w:r>
        <w:rPr>
          <w:rFonts w:ascii="Arial" w:cs="Arial" w:eastAsia="Arial" w:hAnsi="Arial"/>
          <w:sz w:val="17"/>
          <w:szCs w:val="17"/>
          <w:color w:val="auto"/>
        </w:rPr>
        <w:t>AST administers the Plan and acts as agent for the participants. You should send all correspondence concerning the Plan to: Federal Realty Investment Trust, c/o American Stock Transfer &amp; Trust Company, LLC, 6201 15th Avenue, Brooklyn, New York 11219, Attention: Shareholder Relations Department. You should send all completed enrollment forms, payments and other documents to Federal Realty Investment Trust, c/o American Stock Transfer &amp; Trust Company, LLC, Wall Street Station, P.O. Box 922, New York, NY 10269-0560. Should you have any questions regarding the Plan or your Plan account, you may call AST at (718) 921-8283 or (877) 611-8039.</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How does a shareholder enroll and participate in the Plan?</w:t>
      </w:r>
    </w:p>
    <w:p>
      <w:pPr>
        <w:spacing w:after="0" w:line="121" w:lineRule="exact"/>
        <w:rPr>
          <w:sz w:val="20"/>
          <w:szCs w:val="20"/>
          <w:color w:val="auto"/>
        </w:rPr>
      </w:pPr>
    </w:p>
    <w:p>
      <w:pPr>
        <w:ind w:left="120" w:right="700" w:firstLine="440"/>
        <w:spacing w:after="0" w:line="263" w:lineRule="auto"/>
        <w:rPr>
          <w:sz w:val="20"/>
          <w:szCs w:val="20"/>
          <w:color w:val="auto"/>
        </w:rPr>
      </w:pPr>
      <w:r>
        <w:rPr>
          <w:rFonts w:ascii="Arial" w:cs="Arial" w:eastAsia="Arial" w:hAnsi="Arial"/>
          <w:sz w:val="18"/>
          <w:szCs w:val="18"/>
          <w:color w:val="auto"/>
        </w:rPr>
        <w:t xml:space="preserve">If you are not already a participant in the Plan, you may enroll by completing the attached authorization card and mailing it to AST or by following the enrollment procedures specified on AST’s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xml:space="preserve"> . If you have questions, please contact AST at (718) 921-8283 or (877) 611-8039.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enrolled, there are three ways that you can process transactions for your account. You can: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1. Utilize AST’s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You will be able to process the following transactions online:</w:t>
      </w:r>
    </w:p>
    <w:p>
      <w:pPr>
        <w:spacing w:after="0" w:line="360"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 Set up an account</w:t>
            </w:r>
          </w:p>
        </w:tc>
        <w:tc>
          <w:tcPr>
            <w:tcW w:w="1220" w:type="dxa"/>
            <w:vAlign w:val="bottom"/>
          </w:tcPr>
          <w:p>
            <w:pPr>
              <w:ind w:left="110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rPr>
              <w:t>Sell shares</w:t>
            </w: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60"/>
              <w:spacing w:after="0"/>
              <w:rPr>
                <w:sz w:val="20"/>
                <w:szCs w:val="20"/>
                <w:color w:val="auto"/>
              </w:rPr>
            </w:pPr>
            <w:r>
              <w:rPr>
                <w:rFonts w:ascii="Arial" w:cs="Arial" w:eastAsia="Arial" w:hAnsi="Arial"/>
                <w:sz w:val="18"/>
                <w:szCs w:val="18"/>
                <w:color w:val="auto"/>
              </w:rPr>
              <w:t>Make additional purchases</w:t>
            </w:r>
          </w:p>
        </w:tc>
        <w:tc>
          <w:tcPr>
            <w:tcW w:w="5260" w:type="dxa"/>
            <w:vAlign w:val="bottom"/>
            <w:gridSpan w:val="2"/>
          </w:tcPr>
          <w:p>
            <w:pPr>
              <w:ind w:left="1100"/>
              <w:spacing w:after="0"/>
              <w:rPr>
                <w:sz w:val="20"/>
                <w:szCs w:val="20"/>
                <w:color w:val="auto"/>
              </w:rPr>
            </w:pPr>
            <w:r>
              <w:rPr>
                <w:rFonts w:ascii="Arial" w:cs="Arial" w:eastAsia="Arial" w:hAnsi="Arial"/>
                <w:sz w:val="18"/>
                <w:szCs w:val="18"/>
                <w:color w:val="auto"/>
              </w:rPr>
              <w:t>• Terminate your participation in the Plan</w:t>
            </w:r>
          </w:p>
        </w:tc>
      </w:tr>
      <w:tr>
        <w:trPr>
          <w:trHeight w:val="310"/>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480" w:type="dxa"/>
            <w:vAlign w:val="bottom"/>
          </w:tcPr>
          <w:p>
            <w:pPr>
              <w:ind w:left="60"/>
              <w:spacing w:after="0"/>
              <w:rPr>
                <w:sz w:val="20"/>
                <w:szCs w:val="20"/>
                <w:color w:val="auto"/>
              </w:rPr>
            </w:pPr>
            <w:r>
              <w:rPr>
                <w:rFonts w:ascii="Arial" w:cs="Arial" w:eastAsia="Arial" w:hAnsi="Arial"/>
                <w:sz w:val="18"/>
                <w:szCs w:val="18"/>
                <w:color w:val="auto"/>
              </w:rPr>
              <w:t>Change your investment options</w:t>
            </w:r>
          </w:p>
        </w:tc>
        <w:tc>
          <w:tcPr>
            <w:tcW w:w="1220" w:type="dxa"/>
            <w:vAlign w:val="bottom"/>
          </w:tcPr>
          <w:p>
            <w:pPr>
              <w:ind w:left="1100"/>
              <w:spacing w:after="0"/>
              <w:rPr>
                <w:sz w:val="20"/>
                <w:szCs w:val="20"/>
                <w:color w:val="auto"/>
              </w:rPr>
            </w:pP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color w:val="auto"/>
                <w:w w:val="91"/>
              </w:rPr>
              <w:t>Request a certificate for (non-fractional) shares held in</w:t>
            </w:r>
          </w:p>
        </w:tc>
      </w:tr>
      <w:tr>
        <w:trPr>
          <w:trHeight w:val="230"/>
        </w:trPr>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40" w:type="dxa"/>
            <w:vAlign w:val="bottom"/>
          </w:tcPr>
          <w:p>
            <w:pPr>
              <w:ind w:left="60"/>
              <w:spacing w:after="0"/>
              <w:rPr>
                <w:sz w:val="20"/>
                <w:szCs w:val="20"/>
                <w:color w:val="auto"/>
              </w:rPr>
            </w:pPr>
            <w:r>
              <w:rPr>
                <w:rFonts w:ascii="Arial" w:cs="Arial" w:eastAsia="Arial" w:hAnsi="Arial"/>
                <w:sz w:val="18"/>
                <w:szCs w:val="18"/>
                <w:color w:val="auto"/>
              </w:rPr>
              <w:t>your Plan account</w:t>
            </w:r>
          </w:p>
        </w:tc>
      </w:tr>
    </w:tbl>
    <w:p>
      <w:pPr>
        <w:spacing w:after="0" w:line="94" w:lineRule="exact"/>
        <w:rPr>
          <w:sz w:val="20"/>
          <w:szCs w:val="20"/>
          <w:color w:val="auto"/>
        </w:rPr>
      </w:pPr>
    </w:p>
    <w:p>
      <w:pPr>
        <w:ind w:left="1100" w:right="260" w:firstLine="7"/>
        <w:spacing w:after="0" w:line="277" w:lineRule="auto"/>
        <w:tabs>
          <w:tab w:leader="none" w:pos="12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Utilize AST’s Interactive Voice Response System (IVR) by calling AST at (877) 611-8039. You will be able to process the following transactions through the IVR system:</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Terminate participation in the Plan</w:t>
      </w:r>
    </w:p>
    <w:p>
      <w:pPr>
        <w:spacing w:after="0" w:line="225" w:lineRule="exact"/>
        <w:rPr>
          <w:rFonts w:ascii="Arial" w:cs="Arial" w:eastAsia="Arial" w:hAnsi="Arial"/>
          <w:sz w:val="18"/>
          <w:szCs w:val="18"/>
          <w:color w:val="auto"/>
        </w:rPr>
      </w:pPr>
    </w:p>
    <w:p>
      <w:pPr>
        <w:ind w:left="1280" w:hanging="173"/>
        <w:spacing w:after="0"/>
        <w:tabs>
          <w:tab w:leader="none" w:pos="12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Utilize the Transaction Request Form attached to the bottom of your statement and mail it 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By utilizing the Transaction Request form you will be able to do the following:</w:t>
      </w:r>
    </w:p>
    <w:p>
      <w:pPr>
        <w:spacing w:after="0" w:line="25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additional purchases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shares for safekeeping</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 your Plan account</w:t>
      </w:r>
    </w:p>
    <w:p>
      <w:pPr>
        <w:spacing w:after="0" w:line="22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website, you may make your initial investment by wire transfer as described more fully in the answer to Question 14.</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When may a shareholder join the Plan?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Optional cash investments may be made at any time. See Question 14 for a description of when and how amounts received will be invested in our common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How may a participant change options under the Plan?</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website and its IVR system, as described in Question 6, above. Any such change will become effective as of the dividend record date following the date the authorization card is received by AST or the IVR or Internet request has been processed by AST. See Question 2 above for a discussion regarding the Partial Dividend Reinvestment option.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What costs do participants pay for their purchases of shares under the Plan?</w:t>
      </w:r>
    </w:p>
    <w:p>
      <w:pPr>
        <w:spacing w:after="0" w:line="121"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None. There are no brokerage commissions or service fees on purchases. We will pay all costs of administration of the Plan, except that participants may incur certain costs in connection with their withdrawal from the Plan if they direct AST to sell their common shares.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Purchases and Optional Cash Investments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What is the source of the shares purchased under the Plan?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When will dividends and optional cash investments be invested in shares?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to four weeks. We have historically paid dividends on or about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How many shares will be purchased with a participant’s dividends and optional cash investments?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What will be the price for shares purchased under the Plan?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 Composite Transactions) for the period of five trading days ending on the applicable investment date or, if the New York Stock Exchange is closed on the investment date, the five trading days immediately preceding the investment date.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How does a participant make optional cash investments?</w:t>
      </w:r>
    </w:p>
    <w:p>
      <w:pPr>
        <w:spacing w:after="0" w:line="121"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Arial" w:cs="Arial" w:eastAsia="Arial" w:hAnsi="Arial"/>
          <w:sz w:val="17"/>
          <w:szCs w:val="17"/>
          <w:i w:val="1"/>
          <w:iCs w:val="1"/>
          <w:color w:val="auto"/>
        </w:rPr>
        <w:t>www.astfinancial.com</w:t>
      </w:r>
      <w:r>
        <w:rPr>
          <w:rFonts w:ascii="Arial" w:cs="Arial" w:eastAsia="Arial" w:hAnsi="Arial"/>
          <w:sz w:val="17"/>
          <w:szCs w:val="17"/>
          <w:color w:val="auto"/>
        </w:rPr>
        <w:t>.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7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Arial" w:cs="Arial" w:eastAsia="Arial" w:hAnsi="Arial"/>
          <w:sz w:val="17"/>
          <w:szCs w:val="17"/>
          <w:i w:val="1"/>
          <w:iCs w:val="1"/>
          <w:color w:val="auto"/>
        </w:rPr>
        <w:t>www.astfinancial.com</w:t>
      </w:r>
      <w:r>
        <w:rPr>
          <w:rFonts w:ascii="Arial" w:cs="Arial" w:eastAsia="Arial" w:hAnsi="Arial"/>
          <w:sz w:val="17"/>
          <w:szCs w:val="17"/>
          <w:color w:val="auto"/>
        </w:rPr>
        <w:t>.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Payments should be mailed to American Stock Transfer &amp; Trust Company, LLC, Wall Street Station, P.O. Box 922,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Are there any limitations on optional cash investments?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What reports will participants receive?</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Will dividends be paid on shares held in participants’ accounts under the Plan?</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Certificates for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Do participants receive certificates for shares purchased under the Plan?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complimentary custodial service provides protection against loss, theft or destruction of share certificates.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What are the consequences if a participant requests certificates?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 In whose name will certificates be registered when issued?</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21. May shares in a Plan account be pledged?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If you want to pledge common shares credited to your Plan account, you must withdraw those common shares from your Plan account.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 from the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22. When may a participant withdraw from the Plan?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A participant may withdraw from the Plan at any time by accessing AST’s Internet website at </w:t>
      </w:r>
      <w:r>
        <w:rPr>
          <w:rFonts w:ascii="Arial" w:cs="Arial" w:eastAsia="Arial" w:hAnsi="Arial"/>
          <w:sz w:val="18"/>
          <w:szCs w:val="18"/>
          <w:i w:val="1"/>
          <w:iCs w:val="1"/>
          <w:color w:val="auto"/>
        </w:rPr>
        <w:t>www.astfinancial.com</w:t>
      </w:r>
      <w:r>
        <w:rPr>
          <w:rFonts w:ascii="Arial" w:cs="Arial" w:eastAsia="Arial" w:hAnsi="Arial"/>
          <w:sz w:val="18"/>
          <w:szCs w:val="18"/>
          <w:color w:val="auto"/>
        </w:rPr>
        <w:t>, by using AST’s IVR telephone system or by written request to American Stock Transfer &amp; Trust Company, LLC, Wall Street Station, P.O. Box 922,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What happens after a participant withdraws from the Plan?</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When a participant withdraws from the Plan, or upon termination of the Plan by the Company, a certificate for the full common shares held in the participant’s Plan account and cash for any fractional common share held in that account will be mailed to the participant.</w:t>
      </w:r>
    </w:p>
    <w:p>
      <w:pPr>
        <w:spacing w:after="0" w:line="14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withdrawal from the Plan has become effective, you will receive all dividends in cash unless and until you rejoin the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What happens to a participant’s fractional share upon withdrawal from the Plan or if the Plan is terminated?</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When a participant withdraws from the Plan, or if the Plan is terminated by us,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When may a shareholder rejoin the Plan?</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What happens when a participant sells or transfers some or all of the shares registered in his or her name?</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you dispose of all or a portion of the common shares that you hold, the administrator will continue to reinvest dividends on common shares credited to your Plan account in additional common shares unless and until a request to withdraw such common shares from your Plan account is received by the administrator in writing or through AST’s website or IVR system.</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website or IVR system on how to handle your account. If the administrator does not receive new instructions, it may, in its discretion, pay cash dividends on all of your remaining common shares.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What effect does the disposal of all shares held directly by a participant have on a participant’s Plan account?</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274" w:lineRule="exact"/>
        <w:rPr>
          <w:sz w:val="20"/>
          <w:szCs w:val="20"/>
          <w:color w:val="auto"/>
        </w:rPr>
      </w:pPr>
    </w:p>
    <w:p>
      <w:pPr>
        <w:ind w:left="120" w:right="940" w:hanging="4"/>
        <w:spacing w:after="0" w:line="282" w:lineRule="auto"/>
        <w:tabs>
          <w:tab w:leader="none" w:pos="38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we issue a share dividend, declare a share split, have a rights offering or propose to engage in an extraordinary transaction?</w:t>
      </w:r>
    </w:p>
    <w:p>
      <w:pPr>
        <w:spacing w:after="0" w:line="5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Any share dividends or split common shares distributed by us on common shares held in the Plan will be credited to each participant’s account. Transaction processing may be curtailed or suspended until the completion of any share dividend, share split, rights offering or extraordinary transaction.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29. How will a participant’s Plan shares be voted at annual or special meetings of shareholders?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You will receive a proxy to vote the number of full common shares held in your Plan account. Fractional common shares in Plan accounts will not be voted. The common shares in the Plan account may only be voted by proxy and not in person at the meeting. As permitted under applicable law,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30. What are the federal income tax consequences of participation in the Plan?</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of 1986, as amended, or the Code. You should consult your own tax advisor to determine the tax consequences particular to your situation, including any applicable state, local or foreign tax consequences.</w:t>
      </w:r>
    </w:p>
    <w:p>
      <w:pPr>
        <w:spacing w:after="0" w:line="172"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 xml:space="preserve">Amounts Treated as a Distribution. </w:t>
      </w:r>
      <w:r>
        <w:rPr>
          <w:rFonts w:ascii="Arial" w:cs="Arial" w:eastAsia="Arial" w:hAnsi="Arial"/>
          <w:sz w:val="18"/>
          <w:szCs w:val="18"/>
          <w:color w:val="auto"/>
        </w:rPr>
        <w:t>Generally, a Plan participant will be treated as having received a distribution with respect to its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for federal income tax purposes in an amount determined as described below.</w:t>
      </w:r>
    </w:p>
    <w:p>
      <w:pPr>
        <w:spacing w:after="0" w:line="193" w:lineRule="exact"/>
        <w:rPr>
          <w:sz w:val="20"/>
          <w:szCs w:val="20"/>
          <w:color w:val="auto"/>
        </w:rPr>
      </w:pPr>
    </w:p>
    <w:p>
      <w:pPr>
        <w:ind w:left="1080" w:hanging="424"/>
        <w:spacing w:after="0" w:line="279"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 For federal income tax purposes, the fair market value of shares acquired under the Plan will likely be treated as equal to the average of the high and low sale prices of shares on the related investment date.</w:t>
      </w:r>
    </w:p>
    <w:p>
      <w:pPr>
        <w:spacing w:after="0" w:line="198"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210"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173"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the situations described above, a shareholder may be treated as receiving a distribution from us even though no cash distribution is actually received. These distributions will be taxable in the same manner as all other distributions by us, as described below under “Material Federal Income Tax Considerations—Taxation of Taxable U.S. Shareholders,” “—Taxation of Tax-Exempt U.S. Shareholders” and “—Taxation of Non-U.S. Shareholders,” as applicable.</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Based on a series of private rulings issued by the IRS, we intend to take the position that administrative expenses of the plan paid by us are not considered to be distributions to participants.</w:t>
      </w:r>
    </w:p>
    <w:p>
      <w:pPr>
        <w:spacing w:after="0" w:line="166" w:lineRule="exact"/>
        <w:rPr>
          <w:sz w:val="20"/>
          <w:szCs w:val="20"/>
          <w:color w:val="auto"/>
        </w:rPr>
      </w:pPr>
    </w:p>
    <w:p>
      <w:pPr>
        <w:ind w:left="120" w:right="520" w:firstLine="440"/>
        <w:spacing w:after="0" w:line="261" w:lineRule="auto"/>
        <w:rPr>
          <w:sz w:val="20"/>
          <w:szCs w:val="20"/>
          <w:color w:val="auto"/>
        </w:rPr>
      </w:pPr>
      <w:r>
        <w:rPr>
          <w:rFonts w:ascii="Arial" w:cs="Arial" w:eastAsia="Arial" w:hAnsi="Arial"/>
          <w:sz w:val="18"/>
          <w:szCs w:val="18"/>
          <w:b w:val="1"/>
          <w:bCs w:val="1"/>
          <w:color w:val="auto"/>
        </w:rPr>
        <w:t xml:space="preserve">Basis and Holding Period in Shares Acquired Pursuant to the Plan. </w:t>
      </w:r>
      <w:r>
        <w:rPr>
          <w:rFonts w:ascii="Arial" w:cs="Arial" w:eastAsia="Arial" w:hAnsi="Arial"/>
          <w:sz w:val="18"/>
          <w:szCs w:val="18"/>
          <w:color w:val="auto"/>
        </w:rPr>
        <w:t>The tax basis for common shares acquired by reinvesting cash</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through 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83"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b w:val="1"/>
          <w:bCs w:val="1"/>
          <w:color w:val="auto"/>
        </w:rPr>
        <w:t xml:space="preserve">Withdrawal or Disposition of Shares from the Plan. </w:t>
      </w:r>
      <w:r>
        <w:rPr>
          <w:rFonts w:ascii="Arial" w:cs="Arial" w:eastAsia="Arial" w:hAnsi="Arial"/>
          <w:sz w:val="16"/>
          <w:szCs w:val="16"/>
          <w:color w:val="auto"/>
        </w:rPr>
        <w:t>When participants withdraw shares from the Plan and receive whole shares, they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realize 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54"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Effect of Withholding Requirements. </w:t>
      </w:r>
      <w:r>
        <w:rPr>
          <w:rFonts w:ascii="Arial" w:cs="Arial" w:eastAsia="Arial" w:hAnsi="Arial"/>
          <w:sz w:val="18"/>
          <w:szCs w:val="18"/>
          <w:color w:val="auto"/>
        </w:rPr>
        <w:t>Withholding requirements generally applicable to distributions from us will apply to all amounts treated as</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pursuant to the Plan. See the discussion below under “Material Federal Income Tax Considerations—Taxation of Taxable U.S. Shareholders—Information Reporting and Backup Withholding,” and “—Taxation of Non-U.S. Shareholders—Information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187" w:lineRule="exact"/>
        <w:rPr>
          <w:sz w:val="20"/>
          <w:szCs w:val="20"/>
          <w:color w:val="auto"/>
        </w:rPr>
      </w:pPr>
    </w:p>
    <w:p>
      <w:pPr>
        <w:ind w:left="120" w:right="360" w:firstLine="440"/>
        <w:spacing w:after="0" w:line="266" w:lineRule="auto"/>
        <w:rPr>
          <w:sz w:val="20"/>
          <w:szCs w:val="20"/>
          <w:color w:val="auto"/>
        </w:rPr>
      </w:pPr>
      <w:r>
        <w:rPr>
          <w:rFonts w:ascii="Arial" w:cs="Arial" w:eastAsia="Arial" w:hAnsi="Arial"/>
          <w:sz w:val="18"/>
          <w:szCs w:val="18"/>
          <w:b w:val="1"/>
          <w:bCs w:val="1"/>
          <w:color w:val="auto"/>
        </w:rPr>
        <w:t xml:space="preserve">Tax Considerations Relating to Ownership of Common Shares. </w:t>
      </w:r>
      <w:r>
        <w:rPr>
          <w:rFonts w:ascii="Arial" w:cs="Arial" w:eastAsia="Arial" w:hAnsi="Arial"/>
          <w:sz w:val="18"/>
          <w:szCs w:val="18"/>
          <w:color w:val="auto"/>
        </w:rPr>
        <w:t>New investors and current investors should consult the general discussion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caption “Material Federal Income Tax Considerations” on page 16 for a summary of federal income tax considerations related to the ownership of our common shares acquired under the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May the Plan be changed or discontinued?</w:t>
      </w:r>
    </w:p>
    <w:p>
      <w:pPr>
        <w:spacing w:after="0" w:line="121"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 What is the responsibility of the administrator and us under the Plan?</w:t>
      </w:r>
    </w:p>
    <w:p>
      <w:pPr>
        <w:spacing w:after="0" w:line="12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 Who bears the risk of market price fluctuations in the common shares?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Neither we nor the administrator can guarantee that common shares purchased under the Plan will, at any particular time, be worth more or less than their purchase price.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shares. In this section, references to the “Company,” “we,” “us,” “our” and “ours” refer only to Federal Realty Investment Trust and not to the Partnership or its subsidiaries unless the context requires otherwise.</w:t>
      </w:r>
    </w:p>
    <w:p>
      <w:pPr>
        <w:spacing w:after="0" w:line="149"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beneficial owners of shares subject to the special tax accounting rules under Section 451(b) of the Code, persons that are, or that hold their shares through, partnerships or other pass-through entities, United States persons within the meaning of Section 7701(a)(30) of the Code (“United States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w:t>
      </w:r>
    </w:p>
    <w:p>
      <w:pPr>
        <w:spacing w:after="0" w:line="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90"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Predecessor elected to be taxed as a REIT under the federal income tax laws when it filed its 1962 federal income tax return and was organized and operated in a manner intended to qualify as a REIT. We have been organized in a manner intended to qualify as a REIT and we intend to operate in a manner to qualify as a REIT. This section discusses the laws governing the federal income tax treatment of a REIT and its shareholders. These laws are highly technical and complex.</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40"/>
          </w:cols>
          <w:pgMar w:left="32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the opinion of our tax counsel, Pillsbury Winthrop Shaw Pittman LLP, (i) the Predecessor qualified as a REIT under Sections 856 through 860 of the Code with respect to each of its taxable years ended through December 31, 2021; and (ii) we are organized in conformity with the requirements for qualification as a REIT under the Code and our current and proposed method of operation and ownership will enable us to meet the requirements for qualification and taxation as a REIT for the current taxable year and for future taxable years, provided that we and the Predecessor have operated and we continue to operate in accordance with various assumptions and factual representations made by us concerning our diversity of share ownership, business, properties and operations. The Predecessor may not, however, have met, and we may not continue to meet, such requirements. You should be aware that opinions of counsel are not binding on the Internal Revenue Service (“IRS”) or any court. Our qualification as a REIT depends on the Predecessor having met and our ability to meet, on a continuing basis, certain qualification tests set forth in the federal tax laws. Those qualification tests involve the percentage of income earned from specified sources, the percentage of assets that fall within certain categories, the diversity of the ownership of the Predecessor’s and our shares, and the percentage of earnings distributed. We describe the current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214" w:lineRule="exact"/>
        <w:rPr>
          <w:sz w:val="20"/>
          <w:szCs w:val="20"/>
          <w:color w:val="auto"/>
        </w:rPr>
      </w:pPr>
    </w:p>
    <w:p>
      <w:pPr>
        <w:ind w:left="1080" w:right="4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197"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19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97"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will pay a 100% excise tax on transactions with a “taxable REIT subsidiary” that are not conducted on an arm’s-length basis;</w:t>
      </w:r>
    </w:p>
    <w:p>
      <w:pPr>
        <w:spacing w:after="0" w:line="263" w:lineRule="exact"/>
        <w:rPr>
          <w:rFonts w:ascii="Arial" w:cs="Arial" w:eastAsia="Arial" w:hAnsi="Arial"/>
          <w:sz w:val="17"/>
          <w:szCs w:val="17"/>
          <w:color w:val="auto"/>
        </w:rPr>
      </w:pPr>
    </w:p>
    <w:p>
      <w:pPr>
        <w:ind w:left="1080" w:right="10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“—Requirements for REIT Qualification —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213"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86"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92"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13"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252" w:lineRule="exact"/>
        <w:rPr>
          <w:rFonts w:ascii="Arial" w:cs="Arial" w:eastAsia="Arial" w:hAnsi="Arial"/>
          <w:sz w:val="18"/>
          <w:szCs w:val="18"/>
          <w:color w:val="auto"/>
        </w:rPr>
      </w:pPr>
    </w:p>
    <w:p>
      <w:pPr>
        <w:ind w:left="1080" w:right="60" w:hanging="424"/>
        <w:spacing w:after="0" w:line="273"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25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252"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197"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197"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197" w:lineRule="exact"/>
        <w:rPr>
          <w:rFonts w:ascii="Arial" w:cs="Arial" w:eastAsia="Arial" w:hAnsi="Arial"/>
          <w:sz w:val="18"/>
          <w:szCs w:val="18"/>
          <w:color w:val="auto"/>
        </w:rPr>
      </w:pPr>
    </w:p>
    <w:p>
      <w:pPr>
        <w:ind w:left="1080" w:right="94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set aside or used exclusively for charitable purposes. An “individual,” however, generally does not include a trust that is a qualified employee pension or profit-sharing trust under Code Section 401(a), and beneficiaries of such a trust will be treated as holding our shares in proportion to their actuarial interests in the trust for purposes of the 5/50 Rule.</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2020 under the caption “Risk Factors – To maintain our status as a REIT, we limit the amount of shares any one shareholder can own.”</w:t>
      </w:r>
    </w:p>
    <w:p>
      <w:pPr>
        <w:spacing w:after="0" w:line="1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currently have no direct corporate subsidiaries but may have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the capital shares of which are owned by the parent REIT, unless we and the subsidiary have jointly elected to have it treated as a “taxable REIT subsidiary.” A REIT is not treated as directly holding the assets of a taxable REIT subsidiary or as directly receiving any income that the taxable REIT subsidiary earns. Rather, the stock issued by each of our taxable REIT subsidiaries is an asset in our hands, and we generally recognize as income the dividends, if any, that we receive from our taxable REIT subsidiaries. A taxable REIT subsidiary is treated separately from us and will be subject to federal corporate income taxation. In contrast, in applying the requirements described herein, any qualified REIT subsidiary of ours will be ignored, and all assets, liabilities, and items of income, deduction, and credit of such subsidiary will be treated as our assets, liabilities, and items of income, deduction, and credit. Accordingly, any qualified REIT subsidiaries we could have in the future would not be subject to federal corporate income taxation, though they might be subject to state and local taxation.</w:t>
      </w:r>
    </w:p>
    <w:p>
      <w:pPr>
        <w:spacing w:after="0" w:line="182"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Initially, the Partnership will be treated as a disregarded entity for federal income tax purposes (but not necessarily for other tax purposes such as employment and excise taxation) because we initially own 100% of the interests in the Partnership, either directly or indirectly through other disregarded entities. We may in the future admit other partners to the Partnership in property contribution transactions, at which time the Partnership will become a partnership for federal income tax purposes, with the consequences described below.</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An unincorporated domestic entity, such as a partnership or a limited liability company, with two or more beneficial owners is generally treated as a partnership for federal income tax purposes and the owners are treated as partners for such purposes. For purposes of this discussion as it relates to federal income tax status, references to “partnership” also include a limited liability company treated as a partnership for U.S. federal income tax purposes, and references to “partner” include a member in such a limited liability company. A REIT is treated as owning its proportionate share of the assets of any partnership in which it is a partner and as earning its allocable share of the gross income of the partnership for purposes of the applicable REIT qualification tests. Thus, once the Partnership becomes a regarded entity and a partnership for federal income tax purposes, our proportionate share of the assets and items of income of the Partnership and any other partnership in which we have acquired or will acquire an interest, directly or indirectly (a “Subsidiary Partnership”), are treated as our assets and gross income for purposes of applying the various REIT qualification requirements. Generally, except where the context indicates otherwise, references to the Partnership in this discussion will include Subsidiary Partnerships, although until the Partnership becomes regarded the Partnership will follow the disregarded entity rules described in the prior paragraph while the existing Subsidiary Partnerships that are currently regarded entities will be treated as partnerships. Our proportionate share of an entity treated as a partnership is generally determined, for REIT purposes, based on our percentage interest in partnership equity capital, subject to special rules relating to the 10% asset test described below.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have control of the Partnership and, through the Partnership, intend to control any Subsidiary Partnerships, and we intend to operate them in a manner consistent with the requirements for our qualification as a REIT. However, the Partnership may from time to time be a limited partner or non-managing member in some of the Subsidiary Partnerships. If a Subsidiary Partnership in which the Partnership owns an interest but does not have control takes or expects to take actions that could jeopardize our status as a REIT or require us to pay tax, we may be forced to have the Partnership dispose of its interest in such entity. In addition, it is possible that a Subsidiary Partnership could take an action which could cause us to fail a gross income or asset test and that we would not become aware of such action in time for the Partnership to dispose of its interest in the Subsidiary Partnership or take other corrective action on a timely basis. In that case, we could fail to qualify as a REIT unless we were able to qualify for a statutory REIT “savings” provision, which could require us to pay a significant penalty tax to maintain our REIT qualification.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252" w:lineRule="exact"/>
        <w:rPr>
          <w:sz w:val="20"/>
          <w:szCs w:val="20"/>
          <w:color w:val="auto"/>
        </w:rPr>
      </w:pPr>
    </w:p>
    <w:p>
      <w:pPr>
        <w:ind w:left="1080" w:right="20" w:hanging="424"/>
        <w:spacing w:after="0" w:line="290"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192" w:lineRule="exact"/>
        <w:rPr>
          <w:rFonts w:ascii="Arial" w:cs="Arial" w:eastAsia="Arial" w:hAnsi="Arial"/>
          <w:sz w:val="16"/>
          <w:szCs w:val="16"/>
          <w:color w:val="auto"/>
        </w:rPr>
      </w:pPr>
    </w:p>
    <w:p>
      <w:pPr>
        <w:ind w:left="1080" w:right="40" w:hanging="424"/>
        <w:spacing w:after="0" w:line="273"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 In general, interest from any of our taxable REIT subsidiaries is qualifying income for purposes of the 95% gross income test, but is not qualifying income for purposes of the 75% gross income test unless such interest derives from debt secured by real property.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The Partnership’s primary source of income derives from leasing properties. There are various limitations on whether rent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Partnership receives from real property that it owns and leases to tenants will qualify as “rents from real property” (which is qualifying income for purposes of the 75% and 95% gross income tests) under the REIT tax rules:</w:t>
      </w:r>
    </w:p>
    <w:p>
      <w:pPr>
        <w:spacing w:after="0" w:line="211" w:lineRule="exact"/>
        <w:rPr>
          <w:sz w:val="20"/>
          <w:szCs w:val="20"/>
          <w:color w:val="auto"/>
        </w:rPr>
      </w:pPr>
    </w:p>
    <w:p>
      <w:pPr>
        <w:ind w:left="1080" w:right="40" w:hanging="424"/>
        <w:spacing w:after="0" w:line="255"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The Partnership has not entered into any lease based in whole or part on the net income of any person and on an ongoing basis will use its best efforts to avoid entering into such arrangements unless, in either instance, we have determined or we determine in our discretion that such arrangements will not jeopardize our status as a REIT;</w:t>
      </w:r>
    </w:p>
    <w:p>
      <w:pPr>
        <w:spacing w:after="0" w:line="219"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in certain limited circumstances involving taxable REIT subsidiaries, if we or someone who owns 10% or more of our shares owns 10% or more of a tenant from whom the Partnership receives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54" w:lineRule="auto"/>
        <w:rPr>
          <w:sz w:val="20"/>
          <w:szCs w:val="20"/>
          <w:color w:val="auto"/>
        </w:rPr>
      </w:pPr>
      <w:r>
        <w:rPr>
          <w:rFonts w:ascii="Arial" w:cs="Arial" w:eastAsia="Arial" w:hAnsi="Arial"/>
          <w:sz w:val="18"/>
          <w:szCs w:val="18"/>
          <w:color w:val="auto"/>
        </w:rPr>
        <w:t>however, are highly complex and difficult to apply, and the Partnership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the Partnership has not leased property to any related party tenant, except where it may rent to certain taxable REIT subsidiaries as described below, or where we have determined in our discretion that the rent received from such related party tenant is not material and will not jeopardize our status as a REIT. On an ongoing basis, we will use our best efforts to ensure that the Partnership does not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219" w:lineRule="exact"/>
        <w:rPr>
          <w:sz w:val="20"/>
          <w:szCs w:val="20"/>
          <w:color w:val="auto"/>
        </w:rPr>
      </w:pPr>
    </w:p>
    <w:p>
      <w:pPr>
        <w:ind w:left="1080" w:right="20" w:hanging="424"/>
        <w:spacing w:after="0" w:line="293"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the Partnership by the taxable REIT subsidiary must be substantially comparable to the rents paid by such other persons for comparable space. On an ongoing basis we use and will use our best efforts to ensure that all space leased to our taxable REIT subsidiaries by the Partnership meets these conditions, unless we determine in our discretion that the related party rent received from a taxable REIT subsidiary will not jeopardize our status as a REIT;</w:t>
      </w:r>
    </w:p>
    <w:p>
      <w:pPr>
        <w:spacing w:after="0" w:line="191" w:lineRule="exact"/>
        <w:rPr>
          <w:rFonts w:ascii="Arial" w:cs="Arial" w:eastAsia="Arial" w:hAnsi="Arial"/>
          <w:sz w:val="16"/>
          <w:szCs w:val="16"/>
          <w:color w:val="auto"/>
        </w:rPr>
      </w:pPr>
    </w:p>
    <w:p>
      <w:pPr>
        <w:ind w:left="1080" w:right="20" w:hanging="424"/>
        <w:spacing w:after="0" w:line="289"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If the rent attributable to personal property leased in connection with a lease of real property is 15% or less of the total rent received under the lease, then the rent attributable to personal property will qualify as rents from real property. In general, the Partnership has not leased a significant amount of personal property under its current leases. If any incidental personal property has been leased, we believe that rent under each lease from the personal property has been no more than 15% of total rent from that lease, and on an ongoing basis we will use our best efforts to avoid having the Partnership lease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193" w:lineRule="exact"/>
        <w:rPr>
          <w:rFonts w:ascii="Arial" w:cs="Arial" w:eastAsia="Arial" w:hAnsi="Arial"/>
          <w:sz w:val="16"/>
          <w:szCs w:val="16"/>
          <w:color w:val="auto"/>
        </w:rPr>
      </w:pPr>
    </w:p>
    <w:p>
      <w:pPr>
        <w:ind w:left="1080" w:hanging="424"/>
        <w:spacing w:after="0" w:line="269"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general, if the Partnership furnishes or renders services to its tenants, other than through a taxable REIT subsidiary or an “independent contractor” who is adequately compensated and from whom the Partnership does not derive revenue, the income received from the tenants may not be deemed “rents from real property.” In general, the Partnership may provide services directly, if the services are “usually or customarily rendered” in connection with the rental of space for occupancy only and are not otherwise considered to be provided for the tenant’s convenience. In addition, the Partnership may render directly a de minimis amount of “non-customary” services to the tenants of a property without disqualifying the income as “rents from real property,” as long as its income from the services does not exceed 1% of the income from the related property. We believe that the Partnership has not provided services to leased properties that have caused rents to be disqualified as rents from real property, and on an ongoing basis in the future, we will use our best efforts to determine in our discretion that any services provided by the Partnership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Based on, and subject to, the foregoing, we believe that rent from the Partnership’s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For purposes of the gross income tests, the term “interest” generally does not include any amount received or accrued,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Partnership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and gains from the sale or other disposition of,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 — that is, the amount by which the loan principal exceeds the value of the real estate that is security for the loan as of the date the Partnership agreed to acquire the loan.</w:t>
      </w:r>
    </w:p>
    <w:p>
      <w:pPr>
        <w:spacing w:after="0" w:line="17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“Foreclosure property” is any real property (including interests in real property) and any personal property incident to such real property:</w:t>
      </w:r>
    </w:p>
    <w:p>
      <w:pPr>
        <w:spacing w:after="0" w:line="264" w:lineRule="exact"/>
        <w:rPr>
          <w:sz w:val="20"/>
          <w:szCs w:val="20"/>
          <w:color w:val="auto"/>
        </w:rPr>
      </w:pPr>
    </w:p>
    <w:p>
      <w:pPr>
        <w:ind w:left="1080" w:right="2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150" w:lineRule="exact"/>
        <w:rPr>
          <w:rFonts w:ascii="Arial" w:cs="Arial" w:eastAsia="Arial" w:hAnsi="Arial"/>
          <w:sz w:val="16"/>
          <w:szCs w:val="16"/>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211" w:lineRule="exact"/>
        <w:rPr>
          <w:sz w:val="20"/>
          <w:szCs w:val="20"/>
          <w:color w:val="auto"/>
        </w:rPr>
      </w:pPr>
    </w:p>
    <w:p>
      <w:pPr>
        <w:ind w:left="1080" w:right="5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97"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21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Tax on Prohibited Transactions. </w:t>
      </w:r>
      <w:r>
        <w:rPr>
          <w:rFonts w:ascii="Arial" w:cs="Arial" w:eastAsia="Arial" w:hAnsi="Arial"/>
          <w:sz w:val="17"/>
          <w:szCs w:val="17"/>
          <w:color w:val="auto"/>
        </w:rPr>
        <w:t>A REIT will incur a 100% tax on net income (taking into account foreign currency gains and losses) derived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any “prohibited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the Partnership’s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Code provides a safe harbor that, if met by us (including with respect to properties held by the Partnership),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80"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b w:val="1"/>
          <w:bCs w:val="1"/>
          <w:i w:val="1"/>
          <w:iCs w:val="1"/>
          <w:color w:val="auto"/>
        </w:rPr>
        <w:t xml:space="preserve">Tax and Deduction Limits on Certain Transactions with Taxable REIT Subsidiaries. </w:t>
      </w:r>
      <w:r>
        <w:rPr>
          <w:rFonts w:ascii="Arial" w:cs="Arial" w:eastAsia="Arial" w:hAnsi="Arial"/>
          <w:sz w:val="17"/>
          <w:szCs w:val="17"/>
          <w:color w:val="auto"/>
        </w:rPr>
        <w:t>A REIT will incur a 100% tax on certain transactions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a 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the Partnership has had with our taxable REIT subsidiaries will give rise to the 100% tax, but recent changes to the interest deduction rules may affect interest deductions of our taxable REIT subsidiaries under some circumstances.</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Hedging Transactions. </w:t>
      </w:r>
      <w:r>
        <w:rPr>
          <w:rFonts w:ascii="Arial" w:cs="Arial" w:eastAsia="Arial" w:hAnsi="Arial"/>
          <w:sz w:val="17"/>
          <w:szCs w:val="17"/>
          <w:color w:val="auto"/>
        </w:rPr>
        <w:t>Except to the extent provided by Treasury regulations, any income we derive from a hedging transaction (which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entering 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b w:val="1"/>
          <w:bCs w:val="1"/>
          <w:i w:val="1"/>
          <w:iCs w:val="1"/>
          <w:color w:val="auto"/>
        </w:rPr>
        <w:t xml:space="preserve">Like-Kind Exchanges. </w:t>
      </w:r>
      <w:r>
        <w:rPr>
          <w:rFonts w:ascii="Arial" w:cs="Arial" w:eastAsia="Arial" w:hAnsi="Arial"/>
          <w:sz w:val="16"/>
          <w:szCs w:val="16"/>
          <w:color w:val="auto"/>
        </w:rPr>
        <w:t>The Partnership may dispose of properties in transactions intended to qualify as like-kind exchanges under the Code.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like-kind exchanges 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 Legislative changes have eliminated like-kind exchanges for most personal property.</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taxable year, 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275" w:lineRule="exact"/>
        <w:rPr>
          <w:sz w:val="20"/>
          <w:szCs w:val="20"/>
          <w:color w:val="auto"/>
        </w:rPr>
      </w:pPr>
    </w:p>
    <w:p>
      <w:pPr>
        <w:ind w:left="1080" w:right="30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173" w:lineRule="exact"/>
        <w:rPr>
          <w:rFonts w:ascii="Arial" w:cs="Arial" w:eastAsia="Arial" w:hAnsi="Arial"/>
          <w:sz w:val="17"/>
          <w:szCs w:val="17"/>
          <w:color w:val="auto"/>
        </w:rPr>
      </w:pPr>
    </w:p>
    <w:p>
      <w:pPr>
        <w:ind w:left="1540" w:right="160" w:hanging="331"/>
        <w:spacing w:after="0" w:line="301"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the Partnership’s properties qualify as real estate assets.</w:t>
      </w:r>
    </w:p>
    <w:p>
      <w:pPr>
        <w:spacing w:after="0" w:line="184" w:lineRule="exact"/>
        <w:rPr>
          <w:rFonts w:ascii="Arial" w:cs="Arial" w:eastAsia="Arial" w:hAnsi="Arial"/>
          <w:sz w:val="16"/>
          <w:szCs w:val="16"/>
          <w:color w:val="auto"/>
        </w:rPr>
      </w:pPr>
    </w:p>
    <w:p>
      <w:pPr>
        <w:ind w:left="1540" w:right="180" w:hanging="331"/>
        <w:spacing w:after="0" w:line="263"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21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97" w:lineRule="exact"/>
        <w:rPr>
          <w:rFonts w:ascii="Arial" w:cs="Arial" w:eastAsia="Arial" w:hAnsi="Arial"/>
          <w:sz w:val="18"/>
          <w:szCs w:val="18"/>
          <w:color w:val="auto"/>
        </w:rPr>
      </w:pPr>
    </w:p>
    <w:p>
      <w:pPr>
        <w:ind w:left="1080" w:right="100" w:hanging="424"/>
        <w:spacing w:after="0" w:line="26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investments not included in the 75% asset test, (A) the value of our interest in any one issuer’s securities (which does not include our equity ownership in other REITs, the Partnership,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the Partnership, any taxable REIT subsidiary or any qualified REIT subsidiary) (the “10% asset test”), and (C) no more than 25% of the value of our total assets may consist of securities that are not qualifying assets for purposes of the 75% asset test (including securities of any taxable REIT subsidiary that would not otherwise be treated as real estate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213"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20% of the value of our total assets.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described above, the Partnership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the Partnership agreed to acquire the loan, then a portion of such loan likely will not be a qualifying real estate asset. Under Revenue Procedure 2014-51,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real property on the date the REIT acquires the loan, or (ii) the current fair market value of the loan.</w:t>
      </w:r>
    </w:p>
    <w:p>
      <w:pPr>
        <w:spacing w:after="0" w:line="18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Asset Tests. </w:t>
      </w:r>
      <w:r>
        <w:rPr>
          <w:rFonts w:ascii="Arial" w:cs="Arial" w:eastAsia="Arial" w:hAnsi="Arial"/>
          <w:sz w:val="17"/>
          <w:szCs w:val="17"/>
          <w:color w:val="auto"/>
        </w:rPr>
        <w:t>If we fail to satisfy one or more of the asset tests for any quarter of a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 (ii) 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82" w:lineRule="exact"/>
        <w:rPr>
          <w:sz w:val="20"/>
          <w:szCs w:val="20"/>
          <w:color w:val="auto"/>
        </w:rPr>
      </w:pPr>
    </w:p>
    <w:p>
      <w:pPr>
        <w:ind w:left="120" w:right="400" w:firstLine="440"/>
        <w:spacing w:after="0" w:line="287" w:lineRule="auto"/>
        <w:rPr>
          <w:sz w:val="20"/>
          <w:szCs w:val="20"/>
          <w:color w:val="auto"/>
        </w:rPr>
      </w:pPr>
      <w:r>
        <w:rPr>
          <w:rFonts w:ascii="Arial" w:cs="Arial" w:eastAsia="Arial" w:hAnsi="Arial"/>
          <w:sz w:val="16"/>
          <w:szCs w:val="16"/>
          <w:b w:val="1"/>
          <w:bCs w:val="1"/>
          <w:i w:val="1"/>
          <w:iCs w:val="1"/>
          <w:color w:val="auto"/>
        </w:rPr>
        <w:t xml:space="preserve">Distribution Requirements. </w:t>
      </w:r>
      <w:r>
        <w:rPr>
          <w:rFonts w:ascii="Arial" w:cs="Arial" w:eastAsia="Arial" w:hAnsi="Arial"/>
          <w:sz w:val="16"/>
          <w:szCs w:val="16"/>
          <w:color w:val="auto"/>
        </w:rPr>
        <w:t>Each taxable year, we must distribute dividends (other than capital gain dividends and deemed distributions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retained capital gain) to our shareholders in an aggregate amount at least equal to (1) the sum of 90% of (A) our “REIT taxable income” (computed without regard to the dividends paid deduction and our net capital gain) and (B) our net income (after tax), if any, from foreclosure property, minus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certain items of non-cash income.</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Further, with respect to our 2014 and prior taxable years, in order for distributions made by the Predecessor to have been counted as satisfying the annual distribution requirements for REITs and to provide it with a dividends paid deduction, its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the REIT’s organizational documents. For taxable years beginning after December 31, 2014, the preferential dividend rule does not apply to publicly offered REITs. The Predecessor was and we are a publicly offered REIT. Thus, so long as we continue to qualify as a publicly offered REIT, the preferential dividend rule does not apply to the Predecessor’s taxable years from 2015 and our taxable years. However, subsidiary REITs we may own from time to time may not be publicly offered REITs and the preferential dividend rules would apply to such subsidiary REITs, although the IRS has issued multiple private letter rulings, which may not be relied upon as precedent, that a subsidiary REIT that meets certain conditions may be treated as a publicly offered REIT for these purposes.</w:t>
      </w:r>
    </w:p>
    <w:p>
      <w:pPr>
        <w:spacing w:after="0" w:line="166"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7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additional preferred or common shares to raise the cash necessary to make required distributions or, if possible, pay taxable dividends of our shares or debt securities.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The IRS has also issued a revenue procedure applicable to publicly offered REITs that provides that the IRS will treat distributions that, at the election of each shareholder, are paid partly in cash and partly in shares as dividends that satisfy the REIT annual distribution requirement and as distributions that qualify for the dividends paid deduction for federal income tax purposes, provided certain conditions are satisfied, including a requirement that at least 20% of the total dividend is available in cash. In late 2021, the IRS issued additional guidance temporarily reducing, through June 30, 2022, the minimum amount of the distribution that must be available in cash to 10% to respond to economic disruptions and allow REITs to conserve capital and enhance their liquidity. We have no current intention to make such an elective cash/shares distribution or a distribution of debt securities, but in the event of an elective cash/shares distribution we expect to structure it so as to comply with the applicable revenue procedure. If we were to choose to make a cash/shares distribution, shareholders may be required to pay tax in excess of the cash that they receive or may be subject to withholding taxes, including with respect to all or a portion of such dividend that is payable in shares.</w:t>
      </w:r>
    </w:p>
    <w:p>
      <w:pPr>
        <w:spacing w:after="0" w:line="18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 xml:space="preserve">Record Keeping Requirements. </w:t>
      </w:r>
      <w:r>
        <w:rPr>
          <w:rFonts w:ascii="Arial" w:cs="Arial" w:eastAsia="Arial" w:hAnsi="Arial"/>
          <w:sz w:val="18"/>
          <w:szCs w:val="18"/>
          <w:color w:val="auto"/>
        </w:rPr>
        <w:t>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shares. We have complied, and intend to continue to comply, with such requirements.</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than 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used herein, the term “taxable U.S. shareholder” means a taxable beneficial owner of our common shares that for U.S. federal income tax purposes is:</w:t>
      </w:r>
    </w:p>
    <w:p>
      <w:pPr>
        <w:spacing w:after="0" w:line="197"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52"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trust if (A) a U.S. court is able to exercise primary supervision over the administration of such trust and one or more United States persons have the authority to control all substantial decisions of the trust, or (B) it has a valid election in effect to be treated as a United States person.</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 However, for taxable years prior to 2026, generally non-corporate shareholders are allowed to deduct 20% of the aggregate amount of ordinary dividends distributed by us,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w:t>
      </w:r>
    </w:p>
    <w:p>
      <w:pPr>
        <w:spacing w:after="0" w:line="19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determining the extent to which a distribution constitutes a dividend for U.S. federal income tax purposes, our earnings and profits will be allocated first to distributions with respect to our preferred shares and then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to the extent of our earnings and profits,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8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must treat any gain or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realized upon a taxable disposition of our common shares (including any fractional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Capital Gains and Losses. </w:t>
      </w:r>
      <w:r>
        <w:rPr>
          <w:rFonts w:ascii="Arial" w:cs="Arial" w:eastAsia="Arial" w:hAnsi="Arial"/>
          <w:sz w:val="18"/>
          <w:szCs w:val="18"/>
          <w:color w:val="auto"/>
        </w:rPr>
        <w:t>A taxpayer generally must hold a capital asset for more than one year for gain or loss derived from its sale or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66"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Passive Activity and Investment Income Limitations. </w:t>
      </w:r>
      <w:r>
        <w:rPr>
          <w:rFonts w:ascii="Arial" w:cs="Arial" w:eastAsia="Arial" w:hAnsi="Arial"/>
          <w:sz w:val="16"/>
          <w:szCs w:val="16"/>
          <w:color w:val="auto"/>
        </w:rPr>
        <w:t>Distributions from us and gain from the disposition of our common shares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passive 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or a 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Current Tax Rates. </w:t>
      </w:r>
      <w:r>
        <w:rPr>
          <w:rFonts w:ascii="Arial" w:cs="Arial" w:eastAsia="Arial" w:hAnsi="Arial"/>
          <w:sz w:val="17"/>
          <w:szCs w:val="17"/>
          <w:color w:val="auto"/>
        </w:rPr>
        <w:t>The maximum tax rate on the long-term capital gains of domestic non-corporate taxpayers is 20%. The maximum tax rate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“qualified 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for taxable years prior to 2026, generally non-corporate shareholders are allowed to deduct 20% of the aggregate amount of ordinary dividends distributed by us for purposes of determining their U.S. federal income tax (but not for purposes of the 3.8% Medicare tax), subject to certain limitations, including a requirement that the taxable U.S. shareholder receiving such dividends hold the dividend-paying REIT shares for at least 46 days (taking into account certain special holding period rules) of the 91-day period beginning 45 days before the shares become ex-dividend and not be under an obligation to make related payments with respect to a position in substantially similar or related property. Further, with respect to non-corporate taxpayers, the lower qualified dividend income/capital gains tax rate (at a maximum of 20%) does generally apply to:</w:t>
      </w:r>
    </w:p>
    <w:p>
      <w:pPr>
        <w:spacing w:after="0" w:line="2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25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197"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252"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be subject 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24%)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Tax-exempt entities, including qualified employee pension and profit-sharing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and supplemental unemployment benefit trusts that are exempt from taxation under paragraphs (7), (9), and (17),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198"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252"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197"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b w:val="1"/>
          <w:bCs w:val="1"/>
          <w:i w:val="1"/>
          <w:iCs w:val="1"/>
          <w:color w:val="auto"/>
        </w:rPr>
        <w:t xml:space="preserve">Ordinary Dividends. </w:t>
      </w:r>
      <w:r>
        <w:rPr>
          <w:rFonts w:ascii="Arial" w:cs="Arial" w:eastAsia="Arial" w:hAnsi="Arial"/>
          <w:sz w:val="16"/>
          <w:szCs w:val="16"/>
          <w:color w:val="auto"/>
        </w:rPr>
        <w:t>A non-U.S. shareholder that receives a distribution that is not attributable to gain from our sale or exchange of “U.S. real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w:t>
      </w:r>
    </w:p>
    <w:p>
      <w:pPr>
        <w:spacing w:after="0" w:line="4"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6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Return of Capital</w:t>
      </w:r>
      <w:r>
        <w:rPr>
          <w:rFonts w:ascii="Arial" w:cs="Arial" w:eastAsia="Arial" w:hAnsi="Arial"/>
          <w:sz w:val="17"/>
          <w:szCs w:val="17"/>
          <w:color w:val="auto"/>
        </w:rPr>
        <w:t>. A non-U.S. shareholder will not incur tax on a distribution to the extent it exceeds our current and accumulated earnings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profits if such 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2"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shares of the REIT held by the qualified shareholders (“applicable investors”). To the extent distributions not allocable to an applicable investor exceed both our current and accumulated earnings and profits and the adjusted basis of the qualified shareholder’s shares, or result from certain redemptions or liquidating distributions, such distributions are treated as ordinary dividends taxable as described above under “— Ordinary Dividends.”</w:t>
      </w:r>
    </w:p>
    <w:p>
      <w:pPr>
        <w:spacing w:after="0" w:line="178"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b w:val="1"/>
          <w:bCs w:val="1"/>
          <w:i w:val="1"/>
          <w:iCs w:val="1"/>
          <w:color w:val="auto"/>
        </w:rPr>
        <w:t xml:space="preserve">Capital Gain Dividends. </w:t>
      </w:r>
      <w:r>
        <w:rPr>
          <w:rFonts w:ascii="Arial" w:cs="Arial" w:eastAsia="Arial" w:hAnsi="Arial"/>
          <w:sz w:val="16"/>
          <w:szCs w:val="16"/>
          <w:color w:val="auto"/>
        </w:rPr>
        <w:t>Provided that a particular class of our shares is “regularly traded” on an established securities market in the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and the 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21%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 up the 21% FIRPTA withholding from distributions made after the designation, until the amount of distributions withheld at 21% equals the amount of the distribution designated as a capital gain dividend. A non-U.S. shareholder may receive a credit against its FIRPTA tax liability for the amount we withhold.</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4" w:lineRule="exact"/>
        <w:rPr>
          <w:sz w:val="20"/>
          <w:szCs w:val="20"/>
          <w:color w:val="auto"/>
        </w:rPr>
      </w:pPr>
    </w:p>
    <w:p>
      <w:pPr>
        <w:ind w:left="120" w:right="180" w:firstLine="440"/>
        <w:spacing w:after="0" w:line="285"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of our 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the non-U.S. shareholder’s proportionate share of such tax paid by us exceeds its actual U.S. federal income tax liability, provided that</w:t>
      </w:r>
    </w:p>
    <w:p>
      <w:pPr>
        <w:spacing w:after="0" w:line="2" w:lineRule="exact"/>
        <w:rPr>
          <w:sz w:val="20"/>
          <w:szCs w:val="20"/>
          <w:color w:val="auto"/>
        </w:rPr>
      </w:pPr>
    </w:p>
    <w:p>
      <w:pPr>
        <w:ind w:left="120" w:right="480"/>
        <w:spacing w:after="0" w:line="323" w:lineRule="auto"/>
        <w:rPr>
          <w:sz w:val="20"/>
          <w:szCs w:val="20"/>
          <w:color w:val="auto"/>
        </w:rPr>
      </w:pPr>
      <w:r>
        <w:rPr>
          <w:rFonts w:ascii="Arial" w:cs="Arial" w:eastAsia="Arial" w:hAnsi="Arial"/>
          <w:sz w:val="16"/>
          <w:szCs w:val="16"/>
          <w:color w:val="auto"/>
        </w:rPr>
        <w:t>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foreign persons held, directly or indirectly, less than 50% in value of our shares (after applying specified presumptions regarding the ownership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6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2"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We must report annually to the IRS and to each non-U.S. shareholder the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paid to 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Backup withholding (currently at the rate of 24%) and additional information reporting will generally not apply to distributions to</w:t>
      </w:r>
    </w:p>
    <w:p>
      <w:pPr>
        <w:spacing w:after="0" w:line="23"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color w:val="auto"/>
        </w:rPr>
        <w:t>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United States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1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derives 50% or more of its gross income for a specified three-year period from the conduct of a trade or business in the United States;</w:t>
      </w:r>
    </w:p>
    <w:p>
      <w:pPr>
        <w:spacing w:after="0" w:line="263" w:lineRule="exact"/>
        <w:rPr>
          <w:rFonts w:ascii="Arial" w:cs="Arial" w:eastAsia="Arial" w:hAnsi="Arial"/>
          <w:sz w:val="17"/>
          <w:szCs w:val="17"/>
          <w:color w:val="auto"/>
        </w:rPr>
      </w:pPr>
    </w:p>
    <w:p>
      <w:pPr>
        <w:ind w:left="1080" w:right="2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197"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United States persons or if it is engaged in the conduct of a trade or business in the United States,</w:t>
      </w:r>
    </w:p>
    <w:p>
      <w:pPr>
        <w:spacing w:after="0" w:line="170"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a non-U.S. shareholder’s U.S. federal income tax liability or refunded to the extent excess amounts are withheld, provided that the required information is timely supplied to the IRS.</w:t>
      </w:r>
    </w:p>
    <w:p>
      <w:pPr>
        <w:spacing w:after="0" w:line="18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Reporting and Withholding on Foreign Financial Accounts. </w:t>
      </w:r>
      <w:r>
        <w:rPr>
          <w:rFonts w:ascii="Arial" w:cs="Arial" w:eastAsia="Arial" w:hAnsi="Arial"/>
          <w:sz w:val="17"/>
          <w:szCs w:val="17"/>
          <w:color w:val="auto"/>
        </w:rPr>
        <w:t>Under sections 1471 through 1474 of the Code, Treasury regulations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guidance (commonly referred to as “FATCA”), a 30% U.S. withholding tax will be imposed in certain circumstances on payments of (i) dividends on the shares and (ii) subject to the proposed Treasury regulations discussed below, gross proceeds from the sale or other disposition of the shares. Proposed Treasury regulations would, when finalized, eliminate FATCA withholding on the gross proceeds from a sale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other disposition of instruments, such as the shares, that produce withholdable payments. In the preamble to such proposed Treasury regulations, the IRS stated that taxpayers and withholding agents may generally rely on the proposed Treasury regulations until final Treasury regulations are issued. In the case of payments made to a “foreign financial institution” (such as a bank, a broker, an investment fund or, in certain cases, a holding company), as a beneficial owner or as an intermediary, this tax generally will be imposed, subject to certain exceptions, unless such institution (i) has agreed to (and does) comply with the requirements of an agreement with the United States (an “FFI Agreement”) or (ii) is required by (and does comply with) applicable foreign law enacted in connection with an intergovernmental agreement between the United States and a foreign jurisdiction (an “IGA”) to, among other things, collect and provide to the U.S. tax authorities or other relevant tax authorities certain information regarding U.S. account holders of such institution and, in either case, such institution provides the withholding agent with a certification as to its FATCA status. In the case of payments made to a foreign entity that is not a financial institution (as a beneficial owner), the tax generally will be imposed, subject to certain exceptions, unless such entity provides the withholding agent with a certification as to its FATCA status and, in certain cases, identifies any “substantial” U.S. owner (generally, any specified United States person that directly or indirectly owns more than a specified percentage of such entity). If shares are held through a foreign financial institution that has agreed to comply with the requirements of an FFI Agreement or is subject to similar requirements under applicable foreign law enacted in connection with an IGA, such foreign financial institution (or, in certain cases, a person paying amounts to such foreign financial institution) generally will be required, subject to certain exceptions, to withhold tax on payments made to (i) a person (including an individual) that fails to provide any required information or documentation or (ii) a foreign financial institution that has not agreed to comply with the requirements of an FFI Agreement and is not subject to similar requirements under applicable foreign law enacted in connection with an IGA. If we determine withholding is appropriate with respect to the payments of dividends on the shares or other payments in respect of the shares, we will withhold tax at the applicable statutory rate, and we will not pay any additional amounts in respect of such withholding. Under certain circumstances, a holder may be eligible for refunds or credits of such withheld taxes. Prospective investors are urged to consult with their own tax advisors regarding the possible implications of FATCA on their investment in the shares.</w:t>
      </w: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Aspects of Our Investments in the Partnership and Subsidiary Partnerships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discussion summarizes certain federal income tax considerations applicable to our direct or indirect investments in the Partnership and the Subsidiary Partnerships. As described above under “Taxation of the Company — Requirements for REIT Qualification,” initially the Partnership (but not the Subsidiary Partnerships) is a disregarded entity for federal income tax purposes. Accordingly, the discussion below initially only applies to the Subsidiary Partnerships and references to the Partnership should not be taken into account. Once the Partnership admits one or more partners that are not disregarded entities of ours, the discussion below will also apply to the Partnership. Also, the discussion below does not cover state or local tax laws or any federal tax laws other than income tax laws.</w:t>
      </w:r>
    </w:p>
    <w:p>
      <w:pPr>
        <w:spacing w:after="0" w:line="178"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b w:val="1"/>
          <w:bCs w:val="1"/>
          <w:i w:val="1"/>
          <w:iCs w:val="1"/>
          <w:color w:val="auto"/>
        </w:rPr>
        <w:t xml:space="preserve">Classification as Partnerships. </w:t>
      </w:r>
      <w:r>
        <w:rPr>
          <w:rFonts w:ascii="Arial" w:cs="Arial" w:eastAsia="Arial" w:hAnsi="Arial"/>
          <w:sz w:val="16"/>
          <w:szCs w:val="16"/>
          <w:color w:val="auto"/>
        </w:rPr>
        <w:t>We are entitled to include in our income our distributive share of the Partnership’s and Subsidiary Partnerships’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and to deduct our distributive share of the Partnership’s and Subsidiary Partnerships’ losses only if the applicable partnership is classified for federal income tax purposes as a partnership rather than as a corporation or association taxable as a corporation. An organization will be classified as a partnership, rather than as a corporation, for federal income tax purposes if it (1) is treated as a partnership under Treasury regulations, effective January 1, 1997, relating to entity classification (the “check-the-box regulations”) and (2) is not a “publicly traded” partnership.</w:t>
      </w:r>
    </w:p>
    <w:p>
      <w:pPr>
        <w:spacing w:after="0" w:line="16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the check-the-box regulations, an unincorporated entity with at least two members may elect to be classified either as an association taxable as a corporation or as a partnership. If such an entity fails to make an election, it generally will be treated as a partnership for federal income tax purposes. We believe that the Partnership (once it admits one or more partners that are not disregarded entities of ours) and its Subsidiary Partnerships will be classified as partnerships for federal income tax purposes.</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publicly traded partnership is a partnership whose interests are traded on an established securities market or are readily tradable on a secondary market (or the substantial equivalent thereof). While the Partnership units will not be traded on an established securities market, they could possibly be deemed to be traded on a secondary market or its equivalent due to the redemption rights enabling the limited partners to dispose of their units. A publicly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traded partnership will not, however, be treated as a corporation for any taxable year if 90% or more of the partnership’s gross income for such year consists of certain passive-type income, including (as may be relevant here) real property rents, gains from the sale or other disposition of real property, interest, and dividends (the “90% Passive Income Exception”). The income requirements applicable to us in order for us to qualify as a REIT under the Code and the definition of qualifying income under the Passive Income Exception are very similar. Although differences exist between these two income tests, we do not believe that these differences would cause the Partnership not to satisfy the 90% Passive Income Exception applicable to publicly traded partnerships.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Treasury has issued regulations (the “PTP Regulations”) that provide limited safe harbors from the definition of a publicly traded partnership. Pursuant to one of those safe harbors (the “Private Placement Exclusion”), interests in a partnership will not be treated as readily tradable on a secondary market or the substantial equivalent thereof if (i) all interests in the partnership were issued in a transaction (or transactions) that was not required to be registered under the Securities Act, and (ii) the partnership does not have more than 100 partners at any time during the partnership’s taxable year. In determining the number of partners in a partnership, a person owning an interest in a flow-through entity (i.e., a partnership, grantor trust, or S corporation) that owns an interest in the partnership is treated as a partner in such partnership only if (i) substantially all of the value of the owner’s interest in the flow-through entity is attributable to the flow-through entity’s interest (direct or indirect) in the partnership and (ii) a principal purpose of the use of the flow-through entity is to permit the partnership to satisfy the 100-partner limitation.</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Partnership agreement has provisions intended to facilitate and permit us to take actions to avoid loss of the Private Placement Exclusion. We believe that the Partnership, from the point it is treated as a regarded entity, will qualify for the Private Placement Exclusion and thereafter intends to qualify for the Private Placement Exclusion unless it qualifies for another safe harbor or the 90% Passive Income Exception as described below. It is possible, however, that in the future the Partnership might not qualify for the Private Placement Exclusion.</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the Partnership is considered a publicly traded partnership under the PTP Regulations because it is deemed to have more than 100 partners, the Partnership would need to qualify under another safe harbor in the PTP Regulations or for the 90% Passive Income Exception. We believe that the Partnership will qualify for another safe harbor in the PTP Regulations or for the 90% Passive Income Exception. It is possible, however, that in the future the Partnership might not qualify for one of these exceptions.</w:t>
      </w:r>
    </w:p>
    <w:p>
      <w:pPr>
        <w:spacing w:after="0" w:line="18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however, for any reason the Partnership were taxable as a corporation, rather than as a partnership, for federal income tax purposes, we would not be able to qualify as a REIT. See “—Requirements for REIT Qualification—Income Tests” and “—Requirements for REIT Qualification—Asset Tests.” In addition, any change in the Partnership’s status for tax purposes might be treated as a taxable event, in which case we might incur tax liability without any related cash distribution. See “—Requirements for REIT Qualification—Distribution Requirements.” Further, items of income and deduction of the Partnership would not pass through to its partners, and its partners would be treated as shareholders for tax purposes. Consequently, the Partnership would be required to pay income tax at corporate tax rates on its net income, and distributions to its partners would constitute dividends that would not be deductible in computing such Partnership’s taxable income.</w:t>
      </w:r>
    </w:p>
    <w:p>
      <w:pPr>
        <w:spacing w:after="0" w:line="177"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Partners, Not the Partnership, Subject to Tax. </w:t>
      </w:r>
      <w:r>
        <w:rPr>
          <w:rFonts w:ascii="Arial" w:cs="Arial" w:eastAsia="Arial" w:hAnsi="Arial"/>
          <w:sz w:val="17"/>
          <w:szCs w:val="17"/>
          <w:color w:val="auto"/>
        </w:rPr>
        <w:t>The partners of the Partnership are subject to taxation. Except as discussed below in “—Revised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Partnership Audit Rules,” the Partnership itself is not a taxable entity for federal income tax purposes. Rather, we are required to take into account our allocable share of the Partnership’s income, gains, losses, deductions and credits for any taxable year of the Partnership ending during our taxable year, without regard to whether we have received or will receive any distribution from the Partnership.</w:t>
      </w:r>
    </w:p>
    <w:p>
      <w:pPr>
        <w:spacing w:after="0" w:line="17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b w:val="1"/>
          <w:bCs w:val="1"/>
          <w:i w:val="1"/>
          <w:iCs w:val="1"/>
          <w:color w:val="auto"/>
        </w:rPr>
        <w:t>Partnership Allocations</w:t>
      </w:r>
      <w:r>
        <w:rPr>
          <w:rFonts w:ascii="Arial" w:cs="Arial" w:eastAsia="Arial" w:hAnsi="Arial"/>
          <w:sz w:val="17"/>
          <w:szCs w:val="17"/>
          <w:color w:val="auto"/>
        </w:rPr>
        <w:t>. Although a partnership agreement generally will determine the allocation of income and losses among partners,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allocations will be disregarded for tax purposes if they do not comply with the provisions of Section 704(b) of the Code and the Treasury regulations promulgated thereunder. If an allocation is not recognized for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The Partnership’s allocations of taxable income, gain and loss are intended to comply with the requirements of Section 704(b) of the Code and the Treasury regulations promulgated thereunder.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b w:val="1"/>
          <w:bCs w:val="1"/>
          <w:i w:val="1"/>
          <w:iCs w:val="1"/>
          <w:color w:val="auto"/>
        </w:rPr>
        <w:t>Tax Allocations with Respect to Contributed Properties</w:t>
      </w:r>
      <w:r>
        <w:rPr>
          <w:rFonts w:ascii="Arial" w:cs="Arial" w:eastAsia="Arial" w:hAnsi="Arial"/>
          <w:sz w:val="16"/>
          <w:szCs w:val="16"/>
          <w:color w:val="auto"/>
        </w:rPr>
        <w:t>. Pursuant to Section 704(c) of the Code, income, gain, loss and deduction attributable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of contributed property at the time of contribution and the adjusted tax basis of such property at the time of contribution (a “Book-Tax Difference”). Such allocations are solely for federal income tax purposes and do not affect the book capital accounts or other economic or legal arrangements among the partners. The Partnership, once regarded, will be deemed to be formed by way of contributions of appreciated property. Consequently, the Partnership’s partnership agreement requires such allocations to be made in a manner permitted under Section 704(c) of the Code.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general, the partners who contribute property to the Partnership will be allocated depreciation deductions for tax purposes which are lower than such deductions would be if determined on a pro rata basis. In addition, in the event of the disposition of any of the contributed assets (including our properties) which have a Book-Tax Difference, all income attributable to such Book-Tax Difference (to the extent not previously taken into account) will generally be allocated to the contributing partners, including us, and other partners will generally be allocated only their share of income attributable to appreciation, if any, occurring after such contribution. This will tend to eliminate the Book-Tax Difference over the life of the Partnership. However, the special allocation rules of Section 704(c) do not always entirely eliminate the Book-Tax Difference on an annual basis or with respect to a specific taxable transaction such as a sale. Thus, the carryover basis of the contributed assets in the hands of the Partnership may cause us to be allocated lower depreciation and other deductions, and possibly an amount of taxable income in the event of a sale of such contributed assets in excess of the economic or book income allocated to us as a result of such sale.</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Book-Tax Difference may also arise as a result of the revaluation of property owned by the Partnership in connection with certain types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transactions, including in connection with certain non-pro rata contributions or distributions of assets by the Partnership in exchange for interests in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Partnership. In the event of such a revaluation, the partners (including us) who were partners in the Partnership immediately prior to the revaluation will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required to take any Book-Tax Difference created as a result of such revaluation into account in substantially the same manner as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704(c) rules discussed above. This would result in us being allocated income, gain, loss and deduction for tax purposes in amounts different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economic or book income allocated to us by the Partnership.</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application of Section 704(c) to the Partnership may cause us to recognize taxable income in excess of cash proceeds, which might adversely affect our ability to comply with the REIT distribution requirements. See “—Requirements for REIT Qualification—Distribution Requirements.” The foregoing principles also apply in determining our earnings and profits for purposes of determining the portion of distributions taxable as dividend income. The application of these rules over time may result in a higher portion of distributions being taxed as dividends than would have occurred had we purchased the contributed or revalued assets at their agreed values.</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Treasury has issued regulations requiring partnerships to use a “reasonable method” for allocating items affected by Section 704(c) of the Code and outlining several reasonable allocation methods. The general partner of the Partnership has the discretion to determine which of the methods of accounting for Book-Tax Differences (specifically approved in the Treasury regulations) will be elected with respect to any properties contributed to or revalued by the Partnership. We have not determined which method of accounting for Book-Tax Differences will be elected for properties contributed to or revalued by the Partnership in the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in Partnership Interest</w:t>
      </w:r>
      <w:r>
        <w:rPr>
          <w:rFonts w:ascii="Arial" w:cs="Arial" w:eastAsia="Arial" w:hAnsi="Arial"/>
          <w:sz w:val="18"/>
          <w:szCs w:val="18"/>
          <w:color w:val="auto"/>
        </w:rPr>
        <w:t>. Our adjusted tax basis in our partnership interest in the Partnership generally is equal to:</w:t>
      </w:r>
    </w:p>
    <w:p>
      <w:pPr>
        <w:spacing w:after="0" w:line="252"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cash and the adjusted tax basis of any other property contributed by us to the Partnership;</w:t>
      </w:r>
    </w:p>
    <w:p>
      <w:pPr>
        <w:spacing w:after="0" w:line="373"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allocable share of the Partnership’s income,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allocable share of debt of the Partnership; and</w:t>
      </w:r>
    </w:p>
    <w:p>
      <w:pPr>
        <w:spacing w:after="0" w:line="373"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but not below zero,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allocable share of the Partnership’s loss,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 of cash and the basis of any property distributed to us, and</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constructive distributions resulting from a reduction in our share of debt of the Partnership.</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If the allocation of our distributive share of the Partnership’s loss would reduce the adjusted tax basis of our partnership interest in the Partnership below zero, the recognition of such loss will be deferred until such time as the recognition of such loss would not reduce our adjusted tax basis below zero. To the extent that the Partnership’s distributions, or any decrease in our share of the debt of the Partnership (such decrease being considered a constructive cash distribution to the partners), would reduce our adjusted tax basis below zero, such distributions (including such constructive distributions) would constitute taxable income to us. Such distributions and constructive distributions normally will be characterized as capital gain (including Section 1250 “depreciation recapture”), and, if our interest in the Partnership has been held for longer than the long-term capital gain holding period (currently one year), the distributions and constructive distributions will constitute long-term capital gain.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Sale of the Partnership’s Property. </w:t>
      </w:r>
      <w:r>
        <w:rPr>
          <w:rFonts w:ascii="Arial" w:cs="Arial" w:eastAsia="Arial" w:hAnsi="Arial"/>
          <w:sz w:val="18"/>
          <w:szCs w:val="18"/>
          <w:color w:val="auto"/>
        </w:rPr>
        <w:t>Generally, any gain realized by the Partnership on the sale of property held by the Partnership for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 year will be long-term capital gain, except for any portion of such gain that is treated as depreciation or cost recovery recapture. Any gain recognized by the Partnership on the disposition of contributed properties will be allocated first to the partners of the Partnership under Section 704(c) of the Code to the extent of their “built-in gain” on those properties for federal income tax purposes. The partners’ “built-in gain” on the contributed properties sold will equal the excess of the partners’ proportionate share of the book value of those properties over the partners’ tax basis allocable to those properties at the time of the contribution. Any remaining gain recognized by the Partnership on the disposition of the contributed properties, and any gain recognized by the Partnership on the disposition of the other properties, will be allocated among the partners in accordance with their respective percentage interests in the Partnership.</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Our share of any gain realized by the Partnership on the sale of any property held by the Partnership (other than property held indirectly through a taxable REIT subsidiary) as inventory or other property held primarily for sale to customers in the ordinary course of the Partnership’s trade or business will be treated as income from a prohibited transaction that is subject to a 100% penalty tax. Such prohibited transaction income also may have an adverse effect upon our ability to satisfy the income tests for REIT status. See “—Requirements for REIT Qualification—Income Tests.” We, however, do not presently intend to allow the Partnership to acquire or hold any property (other than through a taxable REIT subsidiary) that represents inventory or other property held primarily for sale to customers in the ordinary course of our or the Partnership’s trade or business.</w:t>
      </w:r>
    </w:p>
    <w:p>
      <w:pPr>
        <w:spacing w:after="0" w:line="16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Revised Partnership Audit Rules</w:t>
      </w:r>
      <w:r>
        <w:rPr>
          <w:rFonts w:ascii="Arial" w:cs="Arial" w:eastAsia="Arial" w:hAnsi="Arial"/>
          <w:sz w:val="18"/>
          <w:szCs w:val="18"/>
          <w:color w:val="auto"/>
        </w:rPr>
        <w:t>. Under partnership audit changes generally effective for audits in 2018 and later, a partnership (and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partners) must pay any “imputed underpayments,” consisting of delinquent taxes, interest, and penalties deemed to arise out of an audit of the partnership, unless certain alternative methods are available and the partnership elects to utilize them. The IRS has issued regulations providing details on many of these provisions, but it is still not entirely clear how all of these new rules will be implemented. Accordingly, it is possible that in the future, we and/or any partnership in which we are a partner could be subject to, or otherwise bear the economic burden of, federal income tax, interest, and penalties resulting from a federal income tax audit.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State and Local Taxes. </w:t>
      </w:r>
      <w:r>
        <w:rPr>
          <w:rFonts w:ascii="Arial" w:cs="Arial" w:eastAsia="Arial" w:hAnsi="Arial"/>
          <w:sz w:val="18"/>
          <w:szCs w:val="18"/>
          <w:color w:val="auto"/>
        </w:rPr>
        <w:t>We and/or you may be subject to state and local tax in various states and localities, including those states and localities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Changes to Tax Laws and Regulations. </w:t>
      </w:r>
      <w:r>
        <w:rPr>
          <w:rFonts w:ascii="Arial" w:cs="Arial" w:eastAsia="Arial" w:hAnsi="Arial"/>
          <w:sz w:val="18"/>
          <w:szCs w:val="18"/>
          <w:color w:val="auto"/>
        </w:rPr>
        <w:t>The rules dealing with federal income taxation are subject to revision by the U.S. Congress, the IRS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Treasury, and statutory changes, new regulations, revisions to existing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regulations and revised interpretations of established concepts are issued frequently. In particular, technical corrections legislation and implementing regulations may be enacted or promulgated in response to the Tax Cuts and Jobs Act of 2017. In addition, legislation, regulations and other guidance has been enacted to respond to the COVID-19 pandemic, including the 2020 CARES Act, and further legislative enactments and other IRS or Treasury action is possible. We cannot assure you that a change in law, including the possibility of major tax legislation in 2022 or later, possibly with retroactive application, will not alter significantly the tax considerations (including applicable tax rates) that we describe herein. No prediction can be made as to the likelihood of passage of new tax legislation or other provisions, or the direct or indirect effect on us and our shareholders. Revisions to tax laws and interpretations of these laws could adversely affect our ability to qualify and be taxed as a REIT, as well as the tax or other consequences of an investment in our common shares.</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The audited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and under “The Plan —Other Information—What are the federal income tax consequences of participation in the Plan?” will be passed upon for us by Pillsbury Winthrop Shaw Pittman LLP, Washington D.C.</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93"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62">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2020, filed with the SEC on February 11, 2021;</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w:t>
      </w:r>
      <w:hyperlink r:id="rId63">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2021 Annual Meeting of Shareholders, filed with the SEC on March 25, 2021;</w:t>
      </w:r>
    </w:p>
    <w:p>
      <w:pPr>
        <w:spacing w:after="0" w:line="25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quarters ended March 31, 2021, June 30, 2021 and September 30, 2021, filed with the SEC on </w:t>
      </w:r>
      <w:hyperlink r:id="rId64">
        <w:r>
          <w:rPr>
            <w:rFonts w:ascii="Arial" w:cs="Arial" w:eastAsia="Arial" w:hAnsi="Arial"/>
            <w:sz w:val="18"/>
            <w:szCs w:val="18"/>
            <w:u w:val="single" w:color="auto"/>
            <w:color w:val="0000EE"/>
          </w:rPr>
          <w:t>May 5, 2021</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August 4,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6">
        <w:r>
          <w:rPr>
            <w:rFonts w:ascii="Arial" w:cs="Arial" w:eastAsia="Arial" w:hAnsi="Arial"/>
            <w:sz w:val="18"/>
            <w:szCs w:val="18"/>
            <w:u w:val="single" w:color="auto"/>
            <w:color w:val="0000EE"/>
          </w:rPr>
          <w:t>November 4, 2021</w:t>
        </w:r>
      </w:hyperlink>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32"/>
        </w:numPr>
        <w:rPr>
          <w:rFonts w:ascii="Arial" w:cs="Arial" w:eastAsia="Arial" w:hAnsi="Arial"/>
          <w:sz w:val="18"/>
          <w:szCs w:val="18"/>
          <w:color w:val="0000EE"/>
        </w:rPr>
      </w:pPr>
      <w:hyperlink r:id="rId67">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12,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24,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April 19,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6,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w:t>
        </w:r>
      </w:hyperlink>
      <w:r>
        <w:rPr>
          <w:rFonts w:ascii="Arial" w:cs="Arial" w:eastAsia="Arial" w:hAnsi="Arial"/>
          <w:sz w:val="18"/>
          <w:szCs w:val="18"/>
          <w:color w:val="auto"/>
        </w:rPr>
        <w:t xml:space="preserve"> </w:t>
      </w:r>
      <w:hyperlink r:id="rId67">
        <w:r>
          <w:rPr>
            <w:rFonts w:ascii="Arial" w:cs="Arial" w:eastAsia="Arial" w:hAnsi="Arial"/>
            <w:sz w:val="18"/>
            <w:szCs w:val="18"/>
            <w:u w:val="single" w:color="auto"/>
            <w:color w:val="0000EE"/>
          </w:rPr>
          <w:t>2021</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August 5, 2021</w:t>
        </w:r>
      </w:hyperlink>
      <w:hyperlink r:id="rId6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December 2, 2021</w:t>
        </w:r>
      </w:hyperlink>
      <w:hyperlink r:id="rId67">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70">
        <w:r>
          <w:rPr>
            <w:rFonts w:ascii="Arial" w:cs="Arial" w:eastAsia="Arial" w:hAnsi="Arial"/>
            <w:sz w:val="18"/>
            <w:szCs w:val="18"/>
            <w:u w:val="single" w:color="auto"/>
            <w:color w:val="0000EE"/>
          </w:rPr>
          <w:t xml:space="preserve">January 3, 2022 </w:t>
        </w:r>
      </w:hyperlink>
      <w:hyperlink r:id="rId67">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71">
        <w:r>
          <w:rPr>
            <w:rFonts w:ascii="Arial" w:cs="Arial" w:eastAsia="Arial" w:hAnsi="Arial"/>
            <w:sz w:val="18"/>
            <w:szCs w:val="18"/>
            <w:u w:val="single" w:color="auto"/>
            <w:color w:val="0000EE"/>
          </w:rPr>
          <w:t>January 5, 2022</w:t>
        </w:r>
      </w:hyperlink>
      <w:hyperlink r:id="rId67">
        <w:r>
          <w:rPr>
            <w:rFonts w:ascii="Arial" w:cs="Arial" w:eastAsia="Arial" w:hAnsi="Arial"/>
            <w:sz w:val="18"/>
            <w:szCs w:val="18"/>
            <w:color w:val="000000"/>
          </w:rPr>
          <w:t>; and</w:t>
        </w:r>
      </w:hyperlink>
    </w:p>
    <w:p>
      <w:pPr>
        <w:spacing w:after="0" w:line="197" w:lineRule="exact"/>
        <w:rPr>
          <w:rFonts w:ascii="Arial" w:cs="Arial" w:eastAsia="Arial" w:hAnsi="Arial"/>
          <w:sz w:val="18"/>
          <w:szCs w:val="18"/>
          <w:color w:val="0000EE"/>
        </w:rPr>
      </w:pPr>
    </w:p>
    <w:p>
      <w:pPr>
        <w:ind w:left="1080" w:right="5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Description of our common shares contained in </w:t>
      </w:r>
      <w:hyperlink r:id="rId72">
        <w:r>
          <w:rPr>
            <w:rFonts w:ascii="Arial" w:cs="Arial" w:eastAsia="Arial" w:hAnsi="Arial"/>
            <w:sz w:val="18"/>
            <w:szCs w:val="18"/>
            <w:u w:val="single" w:color="auto"/>
            <w:color w:val="0000EE"/>
          </w:rPr>
          <w:t>Exhibit 4.8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Predecessor’s Annual Report on Form 10-K filed with the SEC on February 10, 2020.</w:t>
      </w:r>
    </w:p>
    <w:p>
      <w:pPr>
        <w:spacing w:after="0" w:line="103"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4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909 Rose Ave. Suite 200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North Bethesda, Maryland 20852</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648970</wp:posOffset>
            </wp:positionV>
            <wp:extent cx="2211705" cy="720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2211705" cy="7200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720,929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427990</wp:posOffset>
            </wp:positionV>
            <wp:extent cx="1474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i w:val="1"/>
          <w:iCs w:val="1"/>
          <w:color w:val="auto"/>
        </w:rPr>
        <w:t>offered to shareholders</w:t>
      </w:r>
    </w:p>
    <w:p>
      <w:pPr>
        <w:ind w:left="4320"/>
        <w:spacing w:after="0" w:line="238" w:lineRule="auto"/>
        <w:rPr>
          <w:sz w:val="20"/>
          <w:szCs w:val="20"/>
          <w:color w:val="auto"/>
        </w:rPr>
      </w:pPr>
      <w:r>
        <w:rPr>
          <w:rFonts w:ascii="Arial" w:cs="Arial" w:eastAsia="Arial" w:hAnsi="Arial"/>
          <w:sz w:val="22"/>
          <w:szCs w:val="22"/>
          <w:b w:val="1"/>
          <w:bCs w:val="1"/>
          <w:i w:val="1"/>
          <w:iCs w:val="1"/>
          <w:color w:val="auto"/>
        </w:rPr>
        <w:t>and other interested investors</w:t>
      </w:r>
    </w:p>
    <w:p>
      <w:pPr>
        <w:ind w:left="4360"/>
        <w:spacing w:after="0"/>
        <w:rPr>
          <w:sz w:val="20"/>
          <w:szCs w:val="20"/>
          <w:color w:val="auto"/>
        </w:rPr>
      </w:pPr>
      <w:r>
        <w:rPr>
          <w:rFonts w:ascii="Arial" w:cs="Arial" w:eastAsia="Arial" w:hAnsi="Arial"/>
          <w:sz w:val="22"/>
          <w:szCs w:val="22"/>
          <w:b w:val="1"/>
          <w:bCs w:val="1"/>
          <w:i w:val="1"/>
          <w:iCs w:val="1"/>
          <w:color w:val="auto"/>
        </w:rPr>
        <w:t>solely in connection with the</w:t>
      </w:r>
    </w:p>
    <w:p>
      <w:pPr>
        <w:spacing w:after="0" w:line="18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Dividend Reinvestment</w:t>
      </w:r>
    </w:p>
    <w:p>
      <w:pPr>
        <w:spacing w:after="0" w:line="38"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388620</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January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454660</wp:posOffset>
            </wp:positionV>
            <wp:extent cx="6995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506095</wp:posOffset>
            </wp:positionV>
            <wp:extent cx="699516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Printing and Filing Costs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Administrator’s Fees and Expenses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10,000*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5,000*</w:t>
            </w:r>
          </w:p>
        </w:tc>
      </w:tr>
      <w:tr>
        <w:trPr>
          <w:trHeight w:val="27"/>
        </w:trPr>
        <w:tc>
          <w:tcPr>
            <w:tcW w:w="6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29,500*</w:t>
            </w:r>
          </w:p>
        </w:tc>
      </w:tr>
      <w:tr>
        <w:trPr>
          <w:trHeight w:val="20"/>
        </w:trPr>
        <w:tc>
          <w:tcPr>
            <w:tcW w:w="6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Estimate.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6"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20" w:type="dxa"/>
            <w:vAlign w:val="bottom"/>
            <w:gridSpan w:val="15"/>
            <w:vMerge w:val="restart"/>
          </w:tcPr>
          <w:p>
            <w:pPr>
              <w:ind w:left="2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782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2"/>
                <w:szCs w:val="22"/>
                <w:color w:val="auto"/>
              </w:rPr>
            </w:pPr>
          </w:p>
        </w:tc>
        <w:tc>
          <w:tcPr>
            <w:tcW w:w="10140" w:type="dxa"/>
            <w:vAlign w:val="bottom"/>
            <w:gridSpan w:val="18"/>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Declaration of Trust of Federal Realty Investment Trust effective January 1, 2022 (previously filed as Exhibit 3.1 to</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the Current Report on Form 8-K filed by the Company on January 3, 2022 and incorporated herein by reference)</w:t>
              </w:r>
            </w:hyperlink>
          </w:p>
        </w:tc>
        <w:tc>
          <w:tcPr>
            <w:tcW w:w="1960" w:type="dxa"/>
            <w:vAlign w:val="bottom"/>
            <w:tcBorders>
              <w:top w:val="single" w:sz="8" w:color="0000EE"/>
            </w:tcBorders>
            <w:gridSpan w:val="4"/>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9560" w:type="dxa"/>
            <w:vAlign w:val="bottom"/>
            <w:tcBorders>
              <w:bottom w:val="single" w:sz="8" w:color="0000EE"/>
            </w:tcBorders>
            <w:gridSpan w:val="15"/>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Articles of Amendment to Amended and Restated Declaration of Trust of Federal Realty Investment Trust effective January 1, 2022</w:t>
              </w:r>
            </w:hyperlink>
          </w:p>
        </w:tc>
        <w:tc>
          <w:tcPr>
            <w:tcW w:w="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(previously filed as Exhibit 3.2 to the Current Report on Form 8-K filed by the Company on January 3, 2022 and incorporated herein by</w:t>
              </w:r>
            </w:hyperlink>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9040" w:type="dxa"/>
            <w:vAlign w:val="bottom"/>
            <w:tcBorders>
              <w:bottom w:val="single" w:sz="8" w:color="0000EE"/>
            </w:tcBorders>
            <w:gridSpan w:val="14"/>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Bylaws of Federal Realty Investment Trust effective January 1, 2022 (previously filed as Exhibit 3.3 to the Current Report on</w:t>
              </w:r>
            </w:hyperlink>
          </w:p>
        </w:tc>
        <w:tc>
          <w:tcPr>
            <w:tcW w:w="1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Form 8-K filed by the Company on January 3, 2022 and incorporated herein by reference)</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Opinion of Pillsbury Winthrop Shaw Pittman LLP regarding the legality of the securities being registered</w:t>
              </w:r>
            </w:hyperlink>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4"/>
                <w:szCs w:val="24"/>
                <w:color w:val="auto"/>
              </w:rPr>
            </w:pPr>
          </w:p>
        </w:tc>
        <w:tc>
          <w:tcPr>
            <w:tcW w:w="7580" w:type="dxa"/>
            <w:vAlign w:val="bottom"/>
            <w:tcBorders>
              <w:top w:val="single" w:sz="8" w:color="0000EE"/>
            </w:tcBorders>
            <w:gridSpan w:val="1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Opinion of Pillsbury Winthrop Shaw Pittman LLP regarding certain federal income tax matters</w:t>
              </w:r>
            </w:hyperlink>
          </w:p>
        </w:tc>
        <w:tc>
          <w:tcPr>
            <w:tcW w:w="2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23.1*</w:t>
            </w:r>
          </w:p>
        </w:tc>
        <w:tc>
          <w:tcPr>
            <w:tcW w:w="42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Consent of Grant Thornton LLP</w:t>
              </w:r>
            </w:hyperlink>
          </w:p>
        </w:tc>
        <w:tc>
          <w:tcPr>
            <w:tcW w:w="4520" w:type="dxa"/>
            <w:vAlign w:val="bottom"/>
            <w:tcBorders>
              <w:top w:val="single" w:sz="8" w:color="0000EE"/>
            </w:tcBorders>
            <w:gridSpan w:val="7"/>
          </w:tcPr>
          <w:p>
            <w:pPr>
              <w:spacing w:after="0"/>
              <w:rPr>
                <w:sz w:val="24"/>
                <w:szCs w:val="24"/>
                <w:color w:val="auto"/>
              </w:rPr>
            </w:pPr>
          </w:p>
        </w:tc>
        <w:tc>
          <w:tcPr>
            <w:tcW w:w="3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23.2*</w:t>
            </w:r>
          </w:p>
        </w:tc>
        <w:tc>
          <w:tcPr>
            <w:tcW w:w="420" w:type="dxa"/>
            <w:vAlign w:val="bottom"/>
          </w:tcPr>
          <w:p>
            <w:pPr>
              <w:spacing w:after="0"/>
              <w:rPr>
                <w:sz w:val="24"/>
                <w:szCs w:val="24"/>
                <w:color w:val="auto"/>
              </w:rPr>
            </w:pPr>
          </w:p>
        </w:tc>
        <w:tc>
          <w:tcPr>
            <w:tcW w:w="10140" w:type="dxa"/>
            <w:vAlign w:val="bottom"/>
            <w:gridSpan w:val="18"/>
          </w:tcPr>
          <w:p>
            <w:pPr>
              <w:spacing w:after="0"/>
              <w:rPr>
                <w:rFonts w:ascii="Arial" w:cs="Arial" w:eastAsia="Arial" w:hAnsi="Arial"/>
                <w:sz w:val="18"/>
                <w:szCs w:val="18"/>
                <w:color w:val="auto"/>
              </w:rPr>
            </w:pPr>
            <w:r>
              <w:rPr>
                <w:rFonts w:ascii="Arial" w:cs="Arial" w:eastAsia="Arial" w:hAnsi="Arial"/>
                <w:sz w:val="18"/>
                <w:szCs w:val="18"/>
                <w:color w:val="auto"/>
              </w:rPr>
              <w:t xml:space="preserve">Consent of Pillsbury Winthrop Shaw Pittman LLP (included in Exhibits </w:t>
            </w:r>
            <w:hyperlink w:anchor="page49">
              <w:r>
                <w:rPr>
                  <w:rFonts w:ascii="Arial" w:cs="Arial" w:eastAsia="Arial" w:hAnsi="Arial"/>
                  <w:sz w:val="18"/>
                  <w:szCs w:val="18"/>
                  <w:color w:val="0000EE"/>
                </w:rPr>
                <w:t>5.1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50">
              <w:r>
                <w:rPr>
                  <w:rFonts w:ascii="Arial" w:cs="Arial" w:eastAsia="Arial" w:hAnsi="Arial"/>
                  <w:sz w:val="18"/>
                  <w:szCs w:val="18"/>
                  <w:color w:val="0000EE"/>
                </w:rPr>
                <w:t>8.1</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w w:val="90"/>
              </w:rPr>
              <w:t>24.1*</w:t>
            </w:r>
          </w:p>
        </w:tc>
        <w:tc>
          <w:tcPr>
            <w:tcW w:w="420" w:type="dxa"/>
            <w:vAlign w:val="bottom"/>
          </w:tcPr>
          <w:p>
            <w:pPr>
              <w:spacing w:after="0"/>
              <w:rPr>
                <w:sz w:val="24"/>
                <w:szCs w:val="24"/>
                <w:color w:val="auto"/>
              </w:rPr>
            </w:pPr>
          </w:p>
        </w:tc>
        <w:tc>
          <w:tcPr>
            <w:tcW w:w="13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Power of Attorney</w:t>
              </w:r>
            </w:hyperlink>
          </w:p>
        </w:tc>
        <w:tc>
          <w:tcPr>
            <w:tcW w:w="3880" w:type="dxa"/>
            <w:vAlign w:val="bottom"/>
            <w:gridSpan w:val="3"/>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1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3"/>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8100" w:type="dxa"/>
            <w:vAlign w:val="bottom"/>
            <w:tcBorders>
              <w:bottom w:val="single" w:sz="8" w:color="0000EE"/>
            </w:tcBorders>
            <w:gridSpan w:val="12"/>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Form of Enrollment Application (previously filed as Exhibit 99.1 to the Predecessor’s Registration Statement on</w:t>
              </w:r>
            </w:hyperlink>
          </w:p>
        </w:tc>
        <w:tc>
          <w:tcPr>
            <w:tcW w:w="20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89">
              <w:r>
                <w:rPr>
                  <w:rFonts w:ascii="Arial" w:cs="Arial" w:eastAsia="Arial" w:hAnsi="Arial"/>
                  <w:sz w:val="18"/>
                  <w:szCs w:val="18"/>
                  <w:color w:val="0000EE"/>
                  <w:w w:val="90"/>
                </w:rPr>
                <w:t>Form S-3 (File No. 333-204009) and incorporated herein by reference)</w:t>
              </w:r>
            </w:hyperlink>
          </w:p>
        </w:tc>
        <w:tc>
          <w:tcPr>
            <w:tcW w:w="5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Included with this filing.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800" w:hanging="24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20" w:hanging="212"/>
        <w:spacing w:after="0"/>
        <w:tabs>
          <w:tab w:leader="none" w:pos="17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1100" w:firstLine="408"/>
        <w:spacing w:after="0" w:line="272" w:lineRule="auto"/>
        <w:tabs>
          <w:tab w:leader="none" w:pos="1766" w:val="left"/>
        </w:tabs>
        <w:numPr>
          <w:ilvl w:val="2"/>
          <w:numId w:val="3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69" w:lineRule="exact"/>
        <w:rPr>
          <w:rFonts w:ascii="Arial" w:cs="Arial" w:eastAsia="Arial" w:hAnsi="Arial"/>
          <w:sz w:val="17"/>
          <w:szCs w:val="17"/>
          <w:color w:val="auto"/>
        </w:rPr>
      </w:pPr>
    </w:p>
    <w:p>
      <w:pPr>
        <w:ind w:left="1100" w:right="120" w:firstLine="408"/>
        <w:spacing w:after="0" w:line="277" w:lineRule="auto"/>
        <w:tabs>
          <w:tab w:leader="none" w:pos="1816" w:val="left"/>
        </w:tabs>
        <w:numPr>
          <w:ilvl w:val="2"/>
          <w:numId w:val="3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60" w:right="300"/>
        <w:spacing w:after="0" w:line="301" w:lineRule="auto"/>
        <w:rPr>
          <w:sz w:val="20"/>
          <w:szCs w:val="20"/>
          <w:color w:val="auto"/>
        </w:rPr>
      </w:pPr>
      <w:r>
        <w:rPr>
          <w:rFonts w:ascii="Arial" w:cs="Arial" w:eastAsia="Arial" w:hAnsi="Arial"/>
          <w:sz w:val="16"/>
          <w:szCs w:val="16"/>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49" w:lineRule="exact"/>
        <w:rPr>
          <w:sz w:val="20"/>
          <w:szCs w:val="20"/>
          <w:color w:val="auto"/>
        </w:rPr>
      </w:pPr>
    </w:p>
    <w:p>
      <w:pPr>
        <w:ind w:left="560" w:right="80" w:firstLine="419"/>
        <w:spacing w:after="0" w:line="263" w:lineRule="auto"/>
        <w:tabs>
          <w:tab w:leader="none" w:pos="12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560" w:right="200" w:firstLine="419"/>
        <w:spacing w:after="0" w:line="277" w:lineRule="auto"/>
        <w:tabs>
          <w:tab w:leader="none" w:pos="12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1100" w:right="60" w:firstLine="408"/>
        <w:spacing w:after="0" w:line="277" w:lineRule="auto"/>
        <w:tabs>
          <w:tab w:leader="none" w:pos="17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69" w:lineRule="auto"/>
        <w:tabs>
          <w:tab w:leader="none" w:pos="1766"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0" w:lineRule="exact"/>
        <w:rPr>
          <w:rFonts w:ascii="Arial" w:cs="Arial" w:eastAsia="Arial" w:hAnsi="Arial"/>
          <w:sz w:val="17"/>
          <w:szCs w:val="17"/>
          <w:color w:val="auto"/>
        </w:rPr>
      </w:pPr>
    </w:p>
    <w:p>
      <w:pPr>
        <w:ind w:left="560" w:right="440" w:firstLine="419"/>
        <w:spacing w:after="0" w:line="277" w:lineRule="auto"/>
        <w:tabs>
          <w:tab w:leader="none" w:pos="12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sz w:val="20"/>
          <w:szCs w:val="20"/>
          <w:color w:val="auto"/>
        </w:rPr>
      </w:pPr>
    </w:p>
    <w:p>
      <w:pPr>
        <w:ind w:left="1200" w:hanging="221"/>
        <w:spacing w:after="0"/>
        <w:tabs>
          <w:tab w:leader="none" w:pos="12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40" w:lineRule="exact"/>
        <w:rPr>
          <w:rFonts w:ascii="Arial" w:cs="Arial" w:eastAsia="Arial" w:hAnsi="Arial"/>
          <w:sz w:val="16"/>
          <w:szCs w:val="16"/>
          <w:color w:val="auto"/>
        </w:rPr>
      </w:pPr>
    </w:p>
    <w:p>
      <w:pPr>
        <w:ind w:left="560" w:right="280" w:firstLine="419"/>
        <w:spacing w:after="0" w:line="277" w:lineRule="auto"/>
        <w:tabs>
          <w:tab w:leader="none" w:pos="12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ind w:left="560" w:right="60" w:firstLine="419"/>
        <w:spacing w:after="0" w:line="277" w:lineRule="auto"/>
        <w:tabs>
          <w:tab w:leader="none" w:pos="12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80" w:hanging="301"/>
        <w:spacing w:after="0"/>
        <w:tabs>
          <w:tab w:leader="none" w:pos="12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20" w:right="260" w:firstLine="436"/>
        <w:spacing w:after="0" w:line="275" w:lineRule="auto"/>
        <w:tabs>
          <w:tab w:leader="none" w:pos="8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Arial" w:cs="Arial" w:eastAsia="Arial" w:hAnsi="Arial"/>
          <w:sz w:val="17"/>
          <w:szCs w:val="17"/>
          <w:color w:val="auto"/>
        </w:rPr>
      </w:pPr>
    </w:p>
    <w:p>
      <w:pPr>
        <w:ind w:left="120" w:right="140" w:firstLine="436"/>
        <w:spacing w:after="0" w:line="290" w:lineRule="auto"/>
        <w:tabs>
          <w:tab w:leader="none" w:pos="80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North Bethesda, State of Maryland, on January 5, 2022.</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380" w:type="dxa"/>
            <w:vAlign w:val="bottom"/>
            <w:gridSpan w:val="3"/>
          </w:tcPr>
          <w:p>
            <w:pPr>
              <w:jc w:val="center"/>
              <w:ind w:left="152"/>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Chief Executive Officer of the Company (principal executive</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officer) and Trustee of the Company</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w w:val="96"/>
              </w:rPr>
              <w:t>Executive Vice President-Chief Financial Officer and Treasurer of</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the Company (principal financial and accounting officer)</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Trustee and Non-Executive Chairman of the Company</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3"/>
          </w:tcPr>
          <w:p>
            <w:pPr>
              <w:ind w:left="20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spacing w:after="0"/>
              <w:rPr>
                <w:sz w:val="24"/>
                <w:szCs w:val="24"/>
                <w:color w:val="auto"/>
              </w:rPr>
            </w:pPr>
          </w:p>
        </w:tc>
        <w:tc>
          <w:tcPr>
            <w:tcW w:w="5140" w:type="dxa"/>
            <w:vAlign w:val="bottom"/>
            <w:gridSpan w:val="4"/>
          </w:tcPr>
          <w:p>
            <w:pPr>
              <w:ind w:left="120"/>
              <w:spacing w:after="0"/>
              <w:rPr>
                <w:sz w:val="20"/>
                <w:szCs w:val="20"/>
                <w:color w:val="auto"/>
              </w:rPr>
            </w:pPr>
            <w:r>
              <w:rPr>
                <w:rFonts w:ascii="Arial" w:cs="Arial" w:eastAsia="Arial" w:hAnsi="Arial"/>
                <w:sz w:val="18"/>
                <w:szCs w:val="18"/>
                <w:color w:val="auto"/>
              </w:rPr>
              <w:t>Trustee of the Company</w:t>
            </w:r>
          </w:p>
        </w:tc>
        <w:tc>
          <w:tcPr>
            <w:tcW w:w="1380" w:type="dxa"/>
            <w:vAlign w:val="bottom"/>
            <w:gridSpan w:val="3"/>
          </w:tcPr>
          <w:p>
            <w:pPr>
              <w:jc w:val="center"/>
              <w:ind w:left="15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3"/>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58"/>
        </w:trPr>
        <w:tc>
          <w:tcPr>
            <w:tcW w:w="2520" w:type="dxa"/>
            <w:vAlign w:val="bottom"/>
            <w:gridSpan w:val="3"/>
          </w:tcPr>
          <w:p>
            <w:pPr>
              <w:spacing w:after="0"/>
              <w:rPr>
                <w:sz w:val="20"/>
                <w:szCs w:val="20"/>
                <w:color w:val="auto"/>
              </w:rPr>
            </w:pPr>
            <w:r>
              <w:rPr>
                <w:rFonts w:ascii="Arial" w:cs="Arial" w:eastAsia="Arial" w:hAnsi="Arial"/>
                <w:sz w:val="18"/>
                <w:szCs w:val="18"/>
                <w:color w:val="auto"/>
              </w:rPr>
              <w:t>*By:  /s/ Dawn M. Becker</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Dawn M. Becker</w:t>
            </w:r>
          </w:p>
        </w:tc>
        <w:tc>
          <w:tcPr>
            <w:tcW w:w="1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Attorney-in-fact</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920" w:type="dxa"/>
            <w:vAlign w:val="bottom"/>
            <w:gridSpan w:val="3"/>
          </w:tcPr>
          <w:p>
            <w:pPr>
              <w:ind w:left="960"/>
              <w:spacing w:after="0"/>
              <w:rPr>
                <w:sz w:val="20"/>
                <w:szCs w:val="20"/>
                <w:color w:val="auto"/>
              </w:rPr>
            </w:pPr>
            <w:r>
              <w:rPr>
                <w:rFonts w:ascii="Arial" w:cs="Arial" w:eastAsia="Arial" w:hAnsi="Arial"/>
                <w:sz w:val="18"/>
                <w:szCs w:val="18"/>
                <w:color w:val="auto"/>
              </w:rPr>
              <w:t>II-5</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940"/>
          </w:cols>
          <w:pgMar w:left="320" w:top="459" w:right="6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Bethesda, Maryland 20852</w:t>
      </w:r>
    </w:p>
    <w:p>
      <w:pPr>
        <w:spacing w:after="0" w:line="319"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color w:val="auto"/>
        </w:rPr>
        <w:t>Re:</w:t>
        <w:tab/>
        <w:t>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acting as counsel for Federal Realty Investment Trust, a Maryland real estate investment trust (the “Company”), in connection with the Registration Statement on Form S-3 (the “Registration Statement”) filed by the Company with the Securities and Exchange Commission (the “Commission”) pursuant to the Securities Act of 1933 (the “Act”), including the prospectus included therein (the “Prospectus”) relating to the registration under the Act of 720,929 common shares of beneficial interest, par value $0.01 per share (the “Shares”), of the Company, issuable from time to time pursuant to the Company’s Dividend Reinvestment and Share Purchase Plan (the “Plan”).</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Based upon the foregoing and subject to the assumptions and qualifications set forth herein, we are of the opinion that the Shares have been duly authorized and, when issued and sold in accordance with the Plan, will be validly issued, fully paid and nonasssessable.</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Shares, the Registration Statement will be effective under the Act, (b) at or prior to the time of the delivery of any of the Shares, the Company has a sufficient number of authorized but unissued shares of Common Stock under the declaration of trust of the Company at the time of such delivery, and (c) the Board of Trustees of the Company shall not have rescinded or otherwise modified the authorization of the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 of the State of Maryland as in effect on the date hereof.</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020"/>
          </w:cols>
          <w:pgMar w:left="440" w:top="121" w:right="439" w:bottom="1440" w:gutter="0" w:footer="0" w:header="0"/>
        </w:sectPr>
      </w:pPr>
    </w:p>
    <w:bookmarkStart w:id="49" w:name="page50"/>
    <w:bookmarkEnd w:id="49"/>
    <w:p>
      <w:pPr>
        <w:ind w:left="10184"/>
        <w:spacing w:after="0"/>
        <w:rPr>
          <w:sz w:val="20"/>
          <w:szCs w:val="20"/>
          <w:color w:val="auto"/>
        </w:rPr>
      </w:pPr>
      <w:r>
        <w:rPr>
          <w:rFonts w:ascii="Arial" w:cs="Arial" w:eastAsia="Arial" w:hAnsi="Arial"/>
          <w:sz w:val="16"/>
          <w:szCs w:val="16"/>
          <w:b w:val="1"/>
          <w:bCs w:val="1"/>
          <w:color w:val="auto"/>
        </w:rPr>
        <w:t>Exhibit 8.1</w:t>
      </w:r>
    </w:p>
    <w:p>
      <w:pPr>
        <w:sectPr>
          <w:pgSz w:w="11900" w:h="16838" w:orient="portrait"/>
          <w:cols w:equalWidth="0" w:num="1">
            <w:col w:w="11024"/>
          </w:cols>
          <w:pgMar w:left="436" w:top="121" w:right="439" w:bottom="1440" w:gutter="0" w:footer="0" w:header="0"/>
        </w:sectPr>
      </w:pPr>
    </w:p>
    <w:p>
      <w:pPr>
        <w:spacing w:after="0" w:line="279"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1200 Seventeenth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036955" cy="643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1036955" cy="643255"/>
                    </a:xfrm>
                    <a:prstGeom prst="rect">
                      <a:avLst/>
                    </a:prstGeom>
                    <a:noFill/>
                  </pic:spPr>
                </pic:pic>
              </a:graphicData>
            </a:graphic>
          </wp:anchor>
        </w:drawing>
      </w:r>
    </w:p>
    <w:p>
      <w:pPr>
        <w:spacing w:after="0" w:line="26" w:lineRule="exact"/>
        <w:rPr>
          <w:sz w:val="20"/>
          <w:szCs w:val="20"/>
          <w:color w:val="auto"/>
        </w:rPr>
      </w:pPr>
    </w:p>
    <w:p>
      <w:pPr>
        <w:ind w:left="6624"/>
        <w:spacing w:after="0"/>
        <w:rPr>
          <w:sz w:val="20"/>
          <w:szCs w:val="20"/>
          <w:color w:val="auto"/>
        </w:rPr>
      </w:pPr>
      <w:r>
        <w:rPr>
          <w:rFonts w:ascii="Arial" w:cs="Arial" w:eastAsia="Arial" w:hAnsi="Arial"/>
          <w:sz w:val="16"/>
          <w:szCs w:val="16"/>
          <w:color w:val="auto"/>
        </w:rPr>
        <w:t>Washington, DC 20036-3006</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Tel 202.663.8000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202.663.8007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www.pillsburylaw.com</w:t>
      </w:r>
    </w:p>
    <w:p>
      <w:pPr>
        <w:spacing w:after="0" w:line="200" w:lineRule="exact"/>
        <w:rPr>
          <w:sz w:val="20"/>
          <w:szCs w:val="20"/>
          <w:color w:val="auto"/>
        </w:rPr>
      </w:pPr>
    </w:p>
    <w:p>
      <w:pPr>
        <w:sectPr>
          <w:pgSz w:w="11900" w:h="16838" w:orient="portrait"/>
          <w:cols w:equalWidth="0" w:num="2">
            <w:col w:w="8744" w:space="400"/>
            <w:col w:w="1880"/>
          </w:cols>
          <w:pgMar w:left="436" w:top="121" w:right="439" w:bottom="1440" w:gutter="0" w:footer="0" w:header="0"/>
          <w:type w:val="continuous"/>
        </w:sectPr>
      </w:pPr>
    </w:p>
    <w:p>
      <w:pPr>
        <w:spacing w:after="0" w:line="3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January 5,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North Bethesda, MD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We have acted as federal income tax counsel to (i) Federal Realty Investment Trust, a Maryland real estate investment trust (the “Company”), and</w:t>
      </w:r>
    </w:p>
    <w:p>
      <w:pPr>
        <w:spacing w:after="0" w:line="46" w:lineRule="exact"/>
        <w:rPr>
          <w:sz w:val="20"/>
          <w:szCs w:val="20"/>
          <w:color w:val="auto"/>
        </w:rPr>
      </w:pPr>
    </w:p>
    <w:p>
      <w:pPr>
        <w:jc w:val="both"/>
        <w:ind w:left="4" w:right="140" w:hanging="4"/>
        <w:spacing w:after="0" w:line="253" w:lineRule="auto"/>
        <w:tabs>
          <w:tab w:leader="none" w:pos="269"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Realty OP LP, a Delaware limited partnership (the “Partnership”). Prior to the effectiveness on or about January 1, 2022 of a reorganization (the “Reorganization”) under section 368(a)(1)(F) of the Internal Revenue Code of 1986, as amended (the “Code”), the Company was a Maryland real estate investment trust known as FRT Holdco REIT, and the Partnership was a Maryland real estate investment trust known as Federal Realty Investment Trust (the “Predecessor”).</w:t>
      </w:r>
    </w:p>
    <w:p>
      <w:pPr>
        <w:spacing w:after="0" w:line="193" w:lineRule="exact"/>
        <w:rPr>
          <w:sz w:val="20"/>
          <w:szCs w:val="20"/>
          <w:color w:val="auto"/>
        </w:rPr>
      </w:pPr>
    </w:p>
    <w:p>
      <w:pPr>
        <w:ind w:left="4" w:right="300" w:firstLine="440"/>
        <w:spacing w:after="0" w:line="279" w:lineRule="auto"/>
        <w:rPr>
          <w:sz w:val="20"/>
          <w:szCs w:val="20"/>
          <w:color w:val="auto"/>
        </w:rPr>
      </w:pPr>
      <w:r>
        <w:rPr>
          <w:rFonts w:ascii="Arial" w:cs="Arial" w:eastAsia="Arial" w:hAnsi="Arial"/>
          <w:sz w:val="17"/>
          <w:szCs w:val="17"/>
          <w:color w:val="auto"/>
        </w:rPr>
        <w:t>You have requested certain opinions regarding the application of U.S. federal income tax laws to the Company, the Partnership and the Predecessor, in connection with the filing of a registration statement on Form S-3 with respect to the Company’s Dividend Reinvestment and Share Purchase Plan (the “Registration Statement”), which term includes a prospectus (the “Prospectus”) and all documents incorporated and deemed to be incorporated by reference therein, on January 5, 2022 with the Securities and Exchange Commission.</w:t>
      </w:r>
    </w:p>
    <w:p>
      <w:pPr>
        <w:spacing w:after="0" w:line="171"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Registration Statement, (2) the Declarations of Trust of the Company and the Predecessor and the Amended and Restated Bylaws of the Company and the Predecessor, the Certificate of Limited Partnership of the Partnership and the Agreement of Limited Partnership of the Partnership (the “Partnership Agreement”), each as amended, restated or supplemented, if applicable, (3) certain written representations of the Company contained in a letter to us dated the date hereof, a copy of which is attached as Schedule 1 hereto, (4) copies of the representative leases entered into by the Predecessor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Declarations of</w:t>
      </w:r>
    </w:p>
    <w:p>
      <w:pPr>
        <w:sectPr>
          <w:pgSz w:w="11900" w:h="16838" w:orient="portrait"/>
          <w:cols w:equalWidth="0" w:num="1">
            <w:col w:w="11024"/>
          </w:cols>
          <w:pgMar w:left="436" w:top="121" w:right="4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Trust of the Company and the Predecessor, as amended, restated or supplemented, and the Partnership Agreement,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7"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6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Predecessor qualified as a real estate investment trust, or REIT, under the Code for each of its taxable years ending after December 31, 1986 and before January 1, 2022; and the Predecessor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(2022) taxable year and for future taxable years, and (iii) the discussions in (x) the Prospectus under the caption “Material Federal Income Tax Considerations,” and (y) the Predecessor’s Annual Report on Form 10-K for the year ended December 31, 2020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 Legislative, administrative, regulatory or other actions affecting REITs, including positions taken by the IRS, could have a material adverse effect on us and our investors,” which are incorporated by reference into the Registration Statement, to the extent that they discuss matters of law or legal conclusions or purport to describe certain provisions of the federal tax laws, are correct summaries of the matters discussed therein.</w:t>
      </w:r>
    </w:p>
    <w:p>
      <w:pPr>
        <w:sectPr>
          <w:pgSz w:w="11900" w:h="16838" w:orient="portrait"/>
          <w:cols w:equalWidth="0" w:num="1">
            <w:col w:w="11000"/>
          </w:cols>
          <w:pgMar w:left="440" w:top="274"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0980"/>
          </w:cols>
          <w:pgMar w:left="440" w:top="274"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issued our reports dated February 11, 2021, with respect to the consolidated financial statements, schedules, and internal control over financial reporting of Federal Realty Investment Trust, included in the Annual Report on Form 10-K for the year ended December 31, 2020, which are incorporated by reference in this Registration Statement. We consent to the incorporation by reference of the aforementioned reports in this Registration Statement and to the use of our name as it appears under the caption “Experts.”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ectPr>
          <w:pgSz w:w="11900" w:h="16838" w:orient="portrait"/>
          <w:cols w:equalWidth="0" w:num="1">
            <w:col w:w="11020"/>
          </w:cols>
          <w:pgMar w:left="440" w:top="121"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any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any of them, shall do or cause to be done by virtue thereof.</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440" w:type="dxa"/>
            <w:vAlign w:val="bottom"/>
            <w:gridSpan w:val="3"/>
          </w:tcPr>
          <w:p>
            <w:pPr>
              <w:jc w:val="center"/>
              <w:ind w:left="212"/>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5"/>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w w:val="98"/>
              </w:rPr>
              <w:t>Chief Executive Officer and Trustee (principal executive officer)</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Executive Vice President and Chief Financial Officer and</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1660" w:type="dxa"/>
            <w:vAlign w:val="bottom"/>
          </w:tcPr>
          <w:p>
            <w:pPr>
              <w:spacing w:after="0"/>
              <w:rPr>
                <w:sz w:val="19"/>
                <w:szCs w:val="19"/>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Treasurer (principal financial and accounting officer)</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Non-Executive Chairman</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I. Holland</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Elizabeth I. Holland</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Nicole Y. Lamb-Hale</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Nicole Y. Lamb-Hale</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Anthony P. Nader, III</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Anthony P. Nader, III</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S. Ordan</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Mark S. Ordan</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31"/>
        </w:trPr>
        <w:tc>
          <w:tcPr>
            <w:tcW w:w="2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660" w:type="dxa"/>
            <w:vAlign w:val="bottom"/>
            <w:tcBorders>
              <w:bottom w:val="single" w:sz="8" w:color="auto"/>
            </w:tcBorders>
          </w:tcPr>
          <w:p>
            <w:pPr>
              <w:spacing w:after="0"/>
              <w:rPr>
                <w:sz w:val="24"/>
                <w:szCs w:val="24"/>
                <w:color w:val="auto"/>
              </w:rPr>
            </w:pPr>
          </w:p>
        </w:tc>
        <w:tc>
          <w:tcPr>
            <w:tcW w:w="5080" w:type="dxa"/>
            <w:vAlign w:val="bottom"/>
            <w:gridSpan w:val="3"/>
          </w:tcPr>
          <w:p>
            <w:pPr>
              <w:ind w:left="120"/>
              <w:spacing w:after="0"/>
              <w:rPr>
                <w:sz w:val="20"/>
                <w:szCs w:val="20"/>
                <w:color w:val="auto"/>
              </w:rPr>
            </w:pPr>
            <w:r>
              <w:rPr>
                <w:rFonts w:ascii="Arial" w:cs="Arial" w:eastAsia="Arial" w:hAnsi="Arial"/>
                <w:sz w:val="18"/>
                <w:szCs w:val="18"/>
                <w:color w:val="auto"/>
              </w:rPr>
              <w:t>Trustee</w:t>
            </w:r>
          </w:p>
        </w:tc>
        <w:tc>
          <w:tcPr>
            <w:tcW w:w="144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January 5, 2022</w:t>
            </w:r>
          </w:p>
        </w:tc>
      </w:tr>
      <w:tr>
        <w:trPr>
          <w:trHeight w:val="224"/>
        </w:trPr>
        <w:tc>
          <w:tcPr>
            <w:tcW w:w="252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6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3"/>
    </w:lvl>
    <w:lvl w:ilvl="1">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lvl w:ilvl="1">
      <w:lvlJc w:val="left"/>
      <w:lvlText w:val="%2."/>
      <w:numFmt w:val="decimal"/>
      <w:start w:val="2"/>
    </w:lvl>
  </w:abstractNum>
  <w:abstractNum w:abstractNumId="10">
    <w:nsid w:val="79838CB2"/>
    <w:multiLevelType w:val="hybridMultilevel"/>
    <w:lvl w:ilvl="0">
      <w:lvlJc w:val="left"/>
      <w:lvlText w:val="•"/>
      <w:numFmt w:val="bullet"/>
      <w:start w:val="1"/>
    </w:lvl>
    <w:lvl w:ilvl="1">
      <w:lvlJc w:val="left"/>
      <w:lvlText w:val="%2."/>
      <w:numFmt w:val="decimal"/>
      <w:start w:val="3"/>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28"/>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lvl w:ilvl="1">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3">
    <w:nsid w:val="3804823E"/>
    <w:multiLevelType w:val="hybridMultilevel"/>
    <w:lvl w:ilvl="0">
      <w:lvlJc w:val="left"/>
      <w:lvlText w:val="(%1)"/>
      <w:numFmt w:val="decimal"/>
      <w:start w:val="2"/>
    </w:lvl>
    <w:lvl w:ilvl="1">
      <w:lvlJc w:val="left"/>
      <w:lvlText w:val="(%2)"/>
      <w:numFmt w:val="lowerRoman"/>
      <w:start w:val="1"/>
    </w:lvl>
  </w:abstractNum>
  <w:abstractNum w:abstractNumId="34">
    <w:nsid w:val="77465F01"/>
    <w:multiLevelType w:val="hybridMultilevel"/>
    <w:lvl w:ilvl="0">
      <w:lvlJc w:val="left"/>
      <w:lvlText w:val="%1"/>
      <w:numFmt w:val="decimal"/>
      <w:start w:val="1"/>
    </w:lvl>
    <w:lvl w:ilvl="1">
      <w:lvlJc w:val="left"/>
      <w:lvlText w:val="(%2)"/>
      <w:numFmt w:val="lowerRoman"/>
      <w:start w:val="2"/>
    </w:lvl>
  </w:abstractNum>
  <w:abstractNum w:abstractNumId="35">
    <w:nsid w:val="7724C67E"/>
    <w:multiLevelType w:val="hybridMultilevel"/>
    <w:lvl w:ilvl="0">
      <w:lvlJc w:val="left"/>
      <w:lvlText w:val="(%1)"/>
      <w:numFmt w:val="decimal"/>
      <w:start w:val="5"/>
    </w:lvl>
    <w:lvl w:ilvl="1">
      <w:lvlJc w:val="left"/>
      <w:lvlText w:val="%2"/>
      <w:numFmt w:val="lowerRoman"/>
      <w:start w:val="1"/>
    </w:lvl>
  </w:abstractNum>
  <w:abstractNum w:abstractNumId="36">
    <w:nsid w:val="5C482A97"/>
    <w:multiLevelType w:val="hybridMultilevel"/>
    <w:lvl w:ilvl="0">
      <w:lvlJc w:val="left"/>
      <w:lvlText w:val="%1"/>
      <w:numFmt w:val="lowerLetter"/>
      <w:start w:val="1"/>
    </w:lvl>
    <w:lvl w:ilvl="1">
      <w:lvlJc w:val="left"/>
      <w:lvlText w:val="(%2)"/>
      <w:numFmt w:val="lowerRoman"/>
      <w:start w:val="1"/>
    </w:lvl>
  </w:abstractNum>
  <w:abstractNum w:abstractNumId="37">
    <w:nsid w:val="2463B9EA"/>
    <w:multiLevelType w:val="hybridMultilevel"/>
    <w:lvl w:ilvl="0">
      <w:lvlJc w:val="left"/>
      <w:lvlText w:val="(%1)"/>
      <w:numFmt w:val="lowerLetter"/>
      <w:start w:val="2"/>
    </w:lvl>
    <w:lvl w:ilvl="1">
      <w:lvlJc w:val="left"/>
      <w:lvlText w:val="%2"/>
      <w:numFmt w:val="lowerRoman"/>
      <w:start w:val="1"/>
    </w:lvl>
  </w:abstractNum>
  <w:abstractNum w:abstractNumId="38">
    <w:nsid w:val="5E884A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jpe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jpeg"/><Relationship Id="rId96" Type="http://schemas.openxmlformats.org/officeDocument/2006/relationships/image" Target="media/image74.png"/><Relationship Id="rId97" Type="http://schemas.openxmlformats.org/officeDocument/2006/relationships/image" Target="media/image75.png"/><Relationship Id="rId62" Type="http://schemas.openxmlformats.org/officeDocument/2006/relationships/hyperlink" Target="http://www.sec.gov/ix?doc=/Archives/edgar/data/34903/000003490321000020/frt-20201231.htm" TargetMode="External"/><Relationship Id="rId63" Type="http://schemas.openxmlformats.org/officeDocument/2006/relationships/hyperlink" Target="http://www.sec.gov/Archives/edgar/data/34903/000119312521093583/d112637ddef14a.htm" TargetMode="External"/><Relationship Id="rId64" Type="http://schemas.openxmlformats.org/officeDocument/2006/relationships/hyperlink" Target="http://www.sec.gov/ix?doc=/Archives/edgar/data/34903/000003490321000049/frt-20210331.htm" TargetMode="External"/><Relationship Id="rId65" Type="http://schemas.openxmlformats.org/officeDocument/2006/relationships/hyperlink" Target="http://www.sec.gov/ix?doc=/Archives/edgar/data/34903/000003490321000060/frt-20210630.htm" TargetMode="External"/><Relationship Id="rId66" Type="http://schemas.openxmlformats.org/officeDocument/2006/relationships/hyperlink" Target="http://www.sec.gov/ix?doc=/Archives/edgar/data/34903/000003490321000076/frt-20210930.htm" TargetMode="External"/><Relationship Id="rId67" Type="http://schemas.openxmlformats.org/officeDocument/2006/relationships/hyperlink" Target="http://www.sec.gov/ix?doc=/Archives/edgar/data/34903/000119312521154127/d415709d8k.htm" TargetMode="External"/><Relationship Id="rId68" Type="http://schemas.openxmlformats.org/officeDocument/2006/relationships/hyperlink" Target="http://www.sec.gov/ix?doc=/Archives/edgar/data/34903/000003490321000066/frt-20210803.htm" TargetMode="External"/><Relationship Id="rId69" Type="http://schemas.openxmlformats.org/officeDocument/2006/relationships/hyperlink" Target="http://www.sec.gov/ix?doc=/Archives/edgar/data/34903/000003490321000080/frt-20211202.htm" TargetMode="External"/><Relationship Id="rId70" Type="http://schemas.openxmlformats.org/officeDocument/2006/relationships/hyperlink" Target="http://www.sec.gov/ix?doc=/Archives/edgar/data/34903/000119312522000302/d231372d8k12b.htm" TargetMode="External"/><Relationship Id="rId71" Type="http://schemas.openxmlformats.org/officeDocument/2006/relationships/hyperlink" Target="http://www.sec.gov/ix?doc=/Archives/edgar/data/34903/000119312522002748/d275243d8k.htm" TargetMode="External"/><Relationship Id="rId72" Type="http://schemas.openxmlformats.org/officeDocument/2006/relationships/hyperlink" Target="http://www.sec.gov/Archives/edgar/data/34903/000003490320000008/frt-12312019xex48.htm" TargetMode="External"/><Relationship Id="rId86" Type="http://schemas.openxmlformats.org/officeDocument/2006/relationships/hyperlink" Target="http://www.sec.gov/Archives/edgar/data/34903/000119312522000302/d231372dex31.htm" TargetMode="External"/><Relationship Id="rId87" Type="http://schemas.openxmlformats.org/officeDocument/2006/relationships/hyperlink" Target="http://www.sec.gov/Archives/edgar/data/34903/000119312522000302/d231372dex32.htm" TargetMode="External"/><Relationship Id="rId88" Type="http://schemas.openxmlformats.org/officeDocument/2006/relationships/hyperlink" Target="http://www.sec.gov/Archives/edgar/data/34903/000119312522000302/d231372dex33.htm" TargetMode="External"/><Relationship Id="rId89" Type="http://schemas.openxmlformats.org/officeDocument/2006/relationships/hyperlink" Target="http://www.sec.gov/Archives/edgar/data/34903/000119312515179600/d922971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2022-01-05T16:18:00Z</dcterms:created>
  <dcterms:modified xsi:type="dcterms:W3CDTF">2022-01-05T16:18:00Z</dcterms:modified>
</cp:coreProperties>
</file>