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11, 2015, Federal Realty Investment Trust (the “Registrant”) entered into an underwriting agreement with Wells Fargo Securities, LLC, Deutsche Bank Securities Inc. and Merrill Lynch, Pierce, Fenner &amp; Smith Incorporated, as representatives of the several underwriters named in Schedule I to the related pricing agreement, whereby the Registrant agreed to issue and sell $200,000,000 aggregate principal amount of 4.50% Notes due 2044 (the “Notes”) in an underwritten public offering. The Notes are of the same series as the 4.50% Notes due 2044 that the Registrant first issued on November 14, 2014. The Notes will be governed by the Indenture, dated as of September 1, 1998, between the Registrant and U.S. Bank National Association (successor trustee to Wachovia Bank, National Association (successor trustee to First Union National Bank)). The offering closed on March 16, 2015.</w:t>
      </w:r>
    </w:p>
    <w:p>
      <w:pPr>
        <w:spacing w:after="0" w:line="16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Notes will be senior unsecured obligations of the Registrant and will rank equally with all of the Registrant’s other senior unsecured indebtedness. The Notes will bear interest at 4.50% per annum, and interest will be payable on June 1 and December 1 of each year, beginning on June 1, 2015. The Notes will mature on December 1, 2044.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0"/>
              </w:rPr>
              <w:t>Underwriting Agreement, dated March 11, 2015, by and among the Registrant and Wells Fargo Securities, LLC, Deutsche Bank Securities Inc.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4"/>
              </w:rPr>
              <w:t>and Merrill Lynch, Pierce, Fenner &amp; Smith Incorporated, as representatives of the underwriters named in Schedule I to the related pricing</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1"/>
              </w:rPr>
              <w:t>Pricing Agreement, dated March 11, 2015, by and among the Registrant and Wells Fargo Securities, LLC, Deutsche Bank Securities Inc.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Merrill Lynch, Pierce, Fenner &amp; Smith Incorporated, as representatives of the underwriters named therein</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4.50% Note due 2044</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legality of the securities being issued by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12.1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Statement Regarding Computation of Ratio of Earnings to Fixed Charges</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17, 2015</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March 11,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left="-60" w:right="20" w:firstLine="464"/>
        <w:spacing w:after="0" w:line="268" w:lineRule="auto"/>
        <w:tabs>
          <w:tab w:leader="none" w:pos="576"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the principal amount of such Designated Securities to be purchased by each Underwriter and whether the issuance of such Designated Securities constitutes a reopening of previously-issued Securities (any such previously-issued Securities being referred to herein as the “Previously-Issued Securities”)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80" w:lineRule="exact"/>
        <w:rPr>
          <w:rFonts w:ascii="Arial" w:cs="Arial" w:eastAsia="Arial" w:hAnsi="Arial"/>
          <w:sz w:val="17"/>
          <w:szCs w:val="17"/>
          <w:color w:val="auto"/>
        </w:rPr>
      </w:pPr>
    </w:p>
    <w:p>
      <w:pPr>
        <w:ind w:left="-60" w:right="640" w:firstLine="464"/>
        <w:spacing w:after="0" w:line="277" w:lineRule="auto"/>
        <w:tabs>
          <w:tab w:leader="none" w:pos="57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62" w:lineRule="exact"/>
        <w:rPr>
          <w:rFonts w:ascii="Arial" w:cs="Arial" w:eastAsia="Arial" w:hAnsi="Arial"/>
          <w:sz w:val="18"/>
          <w:szCs w:val="18"/>
          <w:color w:val="auto"/>
        </w:rPr>
      </w:pPr>
    </w:p>
    <w:p>
      <w:pPr>
        <w:ind w:left="400" w:firstLine="443"/>
        <w:spacing w:after="0" w:line="285" w:lineRule="auto"/>
        <w:tabs>
          <w:tab w:leader="none" w:pos="1083"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333-181236),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w:t>
      </w:r>
    </w:p>
    <w:p>
      <w:pPr>
        <w:spacing w:after="0" w:line="2" w:lineRule="exact"/>
        <w:rPr>
          <w:rFonts w:ascii="Arial" w:cs="Arial" w:eastAsia="Arial" w:hAnsi="Arial"/>
          <w:sz w:val="16"/>
          <w:szCs w:val="16"/>
          <w:color w:val="auto"/>
        </w:rPr>
      </w:pPr>
    </w:p>
    <w:p>
      <w:pPr>
        <w:ind w:left="400" w:right="360"/>
        <w:spacing w:after="0" w:line="261" w:lineRule="auto"/>
        <w:rPr>
          <w:rFonts w:ascii="Arial" w:cs="Arial" w:eastAsia="Arial" w:hAnsi="Arial"/>
          <w:sz w:val="16"/>
          <w:szCs w:val="16"/>
          <w:color w:val="auto"/>
        </w:rPr>
      </w:pPr>
      <w:r>
        <w:rPr>
          <w:rFonts w:ascii="Arial" w:cs="Arial" w:eastAsia="Arial" w:hAnsi="Arial"/>
          <w:sz w:val="18"/>
          <w:szCs w:val="18"/>
          <w:color w:val="auto"/>
        </w:rPr>
        <w:t>(b) of Rule 424 under the Act (“Rule 424(b)”) (without reliance on Rule 424(b)(8)). Any information included in such prospectus that was omitted from such registration statement at the time it became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74" w:right="27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75" w:lineRule="exact"/>
        <w:rPr>
          <w:sz w:val="20"/>
          <w:szCs w:val="20"/>
          <w:color w:val="auto"/>
        </w:rPr>
      </w:pPr>
    </w:p>
    <w:p>
      <w:pPr>
        <w:ind w:right="100" w:firstLine="438"/>
        <w:spacing w:after="0" w:line="271" w:lineRule="auto"/>
        <w:rPr>
          <w:sz w:val="20"/>
          <w:szCs w:val="20"/>
          <w:color w:val="auto"/>
        </w:rPr>
      </w:pPr>
      <w:r>
        <w:rPr>
          <w:rFonts w:ascii="Arial" w:cs="Arial" w:eastAsia="Arial" w:hAnsi="Arial"/>
          <w:sz w:val="17"/>
          <w:szCs w:val="17"/>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71" w:lineRule="exact"/>
        <w:rPr>
          <w:sz w:val="20"/>
          <w:szCs w:val="20"/>
          <w:color w:val="auto"/>
        </w:rPr>
      </w:pPr>
    </w:p>
    <w:p>
      <w:pPr>
        <w:ind w:right="120" w:firstLine="443"/>
        <w:spacing w:after="0" w:line="285" w:lineRule="auto"/>
        <w:tabs>
          <w:tab w:leader="none" w:pos="693" w:val="left"/>
        </w:tabs>
        <w:numPr>
          <w:ilvl w:val="1"/>
          <w:numId w:val="3"/>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the Act) of the Designated Securities, (E) at the</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6" w:name="page7"/>
    <w:bookmarkEnd w:id="6"/>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50" w:lineRule="exact"/>
        <w:rPr>
          <w:sz w:val="20"/>
          <w:szCs w:val="20"/>
          <w:color w:val="auto"/>
        </w:rPr>
      </w:pPr>
    </w:p>
    <w:p>
      <w:pPr>
        <w:jc w:val="both"/>
        <w:ind w:right="100" w:firstLine="443"/>
        <w:spacing w:after="0" w:line="302" w:lineRule="auto"/>
        <w:tabs>
          <w:tab w:leader="none" w:pos="6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2012,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46"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80" w:lineRule="exact"/>
        <w:rPr>
          <w:sz w:val="20"/>
          <w:szCs w:val="20"/>
          <w:color w:val="auto"/>
        </w:rPr>
      </w:pPr>
    </w:p>
    <w:p>
      <w:pPr>
        <w:ind w:firstLine="443"/>
        <w:spacing w:after="0" w:line="297" w:lineRule="auto"/>
        <w:tabs>
          <w:tab w:leader="none" w:pos="733"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50" w:lineRule="exact"/>
        <w:rPr>
          <w:sz w:val="20"/>
          <w:szCs w:val="20"/>
          <w:color w:val="auto"/>
        </w:rPr>
      </w:pPr>
    </w:p>
    <w:p>
      <w:pPr>
        <w:ind w:right="160"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was issued and at the Time of Delivery, complied and will comply, in all material respects with the requirements of the Act and neither the Prospectus nor any amendments or supplements thereto, at the time of the Prospectus or any such amendment or supplement was issued, or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right="30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46" w:lineRule="exact"/>
        <w:rPr>
          <w:sz w:val="20"/>
          <w:szCs w:val="20"/>
          <w:color w:val="auto"/>
        </w:rPr>
      </w:pPr>
    </w:p>
    <w:p>
      <w:pPr>
        <w:ind w:right="20"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117" w:lineRule="exact"/>
        <w:rPr>
          <w:sz w:val="20"/>
          <w:szCs w:val="20"/>
          <w:color w:val="auto"/>
        </w:rPr>
      </w:pPr>
    </w:p>
    <w:p>
      <w:pPr>
        <w:ind w:right="20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62" w:lineRule="exact"/>
        <w:rPr>
          <w:sz w:val="20"/>
          <w:szCs w:val="20"/>
          <w:color w:val="auto"/>
        </w:rPr>
      </w:pPr>
    </w:p>
    <w:p>
      <w:pPr>
        <w:ind w:right="14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8" w:name="page9"/>
    <w:bookmarkEnd w:id="8"/>
    <w:p>
      <w:pPr>
        <w:ind w:right="16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57" w:lineRule="exact"/>
        <w:rPr>
          <w:sz w:val="20"/>
          <w:szCs w:val="20"/>
          <w:color w:val="auto"/>
        </w:rPr>
      </w:pPr>
    </w:p>
    <w:p>
      <w:pPr>
        <w:ind w:right="360" w:firstLine="443"/>
        <w:spacing w:after="0" w:line="31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160" w:firstLine="443"/>
        <w:spacing w:after="0" w:line="255"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1" w:lineRule="exact"/>
        <w:rPr>
          <w:rFonts w:ascii="Arial" w:cs="Arial" w:eastAsia="Arial" w:hAnsi="Arial"/>
          <w:sz w:val="18"/>
          <w:szCs w:val="18"/>
          <w:color w:val="auto"/>
        </w:rPr>
      </w:pPr>
    </w:p>
    <w:p>
      <w:pPr>
        <w:ind w:firstLine="443"/>
        <w:spacing w:after="0" w:line="287" w:lineRule="auto"/>
        <w:tabs>
          <w:tab w:leader="none" w:pos="66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S-X)(each, a “Subsidiary” and collectively, the “Subsidiaries”) has been duly organized and is validly existing as a corporation, partnership, limited liability company, trust or joint venture, as the case may be, in good standing under the laws of the jurisdiction of their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right="20" w:firstLine="443"/>
        <w:spacing w:after="0" w:line="284" w:lineRule="auto"/>
        <w:tabs>
          <w:tab w:leader="none" w:pos="693"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w:t>
      </w:r>
    </w:p>
    <w:p>
      <w:pPr>
        <w:spacing w:after="0" w:line="4" w:lineRule="exact"/>
        <w:rPr>
          <w:rFonts w:ascii="Arial" w:cs="Arial" w:eastAsia="Arial" w:hAnsi="Arial"/>
          <w:sz w:val="16"/>
          <w:szCs w:val="16"/>
          <w:color w:val="auto"/>
        </w:rPr>
      </w:pPr>
    </w:p>
    <w:p>
      <w:pPr>
        <w:ind w:firstLine="4"/>
        <w:spacing w:after="0" w:line="286"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February 12, 2014 between the Company and Wells Fargo Securities, LLC and (b) the Equity Distribution Agreement dated February 12, 2014 between the Company and Merrill Lynch, Pierce, Fenner &amp; Smith Incorporated,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 w:name="page11"/>
    <w:bookmarkEnd w:id="10"/>
    <w:p>
      <w:pPr>
        <w:ind w:right="60" w:firstLine="443"/>
        <w:spacing w:after="0" w:line="257"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80" w:lineRule="exact"/>
        <w:rPr>
          <w:rFonts w:ascii="Arial" w:cs="Arial" w:eastAsia="Arial" w:hAnsi="Arial"/>
          <w:sz w:val="18"/>
          <w:szCs w:val="18"/>
          <w:color w:val="auto"/>
        </w:rPr>
      </w:pPr>
    </w:p>
    <w:p>
      <w:pPr>
        <w:ind w:right="20" w:firstLine="443"/>
        <w:spacing w:after="0" w:line="277" w:lineRule="auto"/>
        <w:tabs>
          <w:tab w:leader="none" w:pos="6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right="100" w:firstLine="443"/>
        <w:spacing w:after="0" w:line="270" w:lineRule="auto"/>
        <w:tabs>
          <w:tab w:leader="none" w:pos="6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73" w:lineRule="exact"/>
        <w:rPr>
          <w:rFonts w:ascii="Arial" w:cs="Arial" w:eastAsia="Arial" w:hAnsi="Arial"/>
          <w:sz w:val="17"/>
          <w:szCs w:val="17"/>
          <w:color w:val="auto"/>
        </w:rPr>
      </w:pPr>
    </w:p>
    <w:p>
      <w:pPr>
        <w:ind w:firstLine="443"/>
        <w:spacing w:after="0" w:line="289" w:lineRule="auto"/>
        <w:tabs>
          <w:tab w:leader="none" w:pos="693"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no subsidiary of the Company not referred to in clause (i)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1" w:name="page12"/>
    <w:bookmarkEnd w:id="11"/>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enterprise. If the issuance of the Designated Securities constitutes a reopening of Previously-Issued Securities, no event of default, and no default that, with notice and/or lapse of time, would constitute an event of default, in respect of the Previously-Issued Securities has occurred or is continuing.</w:t>
      </w:r>
    </w:p>
    <w:p>
      <w:pPr>
        <w:spacing w:after="0" w:line="16" w:lineRule="exact"/>
        <w:rPr>
          <w:sz w:val="20"/>
          <w:szCs w:val="20"/>
          <w:color w:val="auto"/>
        </w:rPr>
      </w:pPr>
    </w:p>
    <w:p>
      <w:pPr>
        <w:ind w:right="20" w:firstLine="443"/>
        <w:spacing w:after="0" w:line="268" w:lineRule="auto"/>
        <w:tabs>
          <w:tab w:leader="none" w:pos="6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79" w:lineRule="exact"/>
        <w:rPr>
          <w:rFonts w:ascii="Arial" w:cs="Arial" w:eastAsia="Arial" w:hAnsi="Arial"/>
          <w:sz w:val="17"/>
          <w:szCs w:val="17"/>
          <w:color w:val="auto"/>
        </w:rPr>
      </w:pPr>
    </w:p>
    <w:p>
      <w:pPr>
        <w:ind w:firstLine="443"/>
        <w:spacing w:after="0" w:line="255" w:lineRule="auto"/>
        <w:tabs>
          <w:tab w:leader="none" w:pos="7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right="40" w:firstLine="443"/>
        <w:spacing w:after="0" w:line="259"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79" w:lineRule="exact"/>
        <w:rPr>
          <w:sz w:val="20"/>
          <w:szCs w:val="20"/>
          <w:color w:val="auto"/>
        </w:rPr>
      </w:pPr>
    </w:p>
    <w:p>
      <w:pPr>
        <w:ind w:right="20" w:firstLine="443"/>
        <w:spacing w:after="0" w:line="259"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43"/>
        <w:spacing w:after="0" w:line="257"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73" w:lineRule="exact"/>
        <w:rPr>
          <w:rFonts w:ascii="Arial" w:cs="Arial" w:eastAsia="Arial" w:hAnsi="Arial"/>
          <w:sz w:val="18"/>
          <w:szCs w:val="18"/>
          <w:color w:val="auto"/>
        </w:rPr>
      </w:pPr>
    </w:p>
    <w:p>
      <w:pPr>
        <w:ind w:right="260" w:firstLine="443"/>
        <w:spacing w:after="0" w:line="257" w:lineRule="auto"/>
        <w:tabs>
          <w:tab w:leader="none" w:pos="6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2014 and the consolidated statements of operations, consolidated statements of shareholders’ equity and consolidated statements of cash flows for the year ended December 31, 2014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80" w:lineRule="exact"/>
        <w:rPr>
          <w:rFonts w:ascii="Arial" w:cs="Arial" w:eastAsia="Arial" w:hAnsi="Arial"/>
          <w:sz w:val="18"/>
          <w:szCs w:val="18"/>
          <w:color w:val="auto"/>
        </w:rPr>
      </w:pPr>
    </w:p>
    <w:p>
      <w:pPr>
        <w:jc w:val="both"/>
        <w:ind w:right="600" w:firstLine="443"/>
        <w:spacing w:after="0" w:line="264" w:lineRule="auto"/>
        <w:tabs>
          <w:tab w:leader="none" w:pos="6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13" w:name="page14"/>
    <w:bookmarkEnd w:id="13"/>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w:t>
      </w:r>
    </w:p>
    <w:p>
      <w:pPr>
        <w:ind w:right="60" w:firstLine="4"/>
        <w:spacing w:after="0" w:line="287" w:lineRule="auto"/>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58" w:lineRule="exact"/>
        <w:rPr>
          <w:rFonts w:ascii="Arial" w:cs="Arial" w:eastAsia="Arial" w:hAnsi="Arial"/>
          <w:sz w:val="16"/>
          <w:szCs w:val="16"/>
          <w:color w:val="auto"/>
        </w:rPr>
      </w:pPr>
    </w:p>
    <w:p>
      <w:pPr>
        <w:ind w:right="300" w:firstLine="443"/>
        <w:spacing w:after="0" w:line="308" w:lineRule="auto"/>
        <w:tabs>
          <w:tab w:leader="none" w:pos="653"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38" w:lineRule="exact"/>
        <w:rPr>
          <w:rFonts w:ascii="Arial" w:cs="Arial" w:eastAsia="Arial" w:hAnsi="Arial"/>
          <w:sz w:val="17"/>
          <w:szCs w:val="17"/>
          <w:color w:val="auto"/>
        </w:rPr>
      </w:pPr>
    </w:p>
    <w:p>
      <w:pPr>
        <w:ind w:firstLine="443"/>
        <w:spacing w:after="0" w:line="291" w:lineRule="auto"/>
        <w:tabs>
          <w:tab w:leader="none" w:pos="69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of this Underwriting Agreement,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9" w:lineRule="exact"/>
        <w:rPr>
          <w:rFonts w:ascii="Arial" w:cs="Arial" w:eastAsia="Arial" w:hAnsi="Arial"/>
          <w:sz w:val="16"/>
          <w:szCs w:val="16"/>
          <w:color w:val="auto"/>
        </w:rPr>
      </w:pPr>
    </w:p>
    <w:p>
      <w:pPr>
        <w:ind w:right="100" w:firstLine="443"/>
        <w:spacing w:after="0" w:line="264" w:lineRule="auto"/>
        <w:tabs>
          <w:tab w:leader="none" w:pos="6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14" w:name="page15"/>
    <w:bookmarkEnd w:id="14"/>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 such requirements; and the Company is neither an “investment company” nor a company “controlled” by an “investment company” within the meaning of the Investment Company Act of 1940, as amended.</w:t>
      </w:r>
    </w:p>
    <w:p>
      <w:pPr>
        <w:spacing w:after="0" w:line="62" w:lineRule="exact"/>
        <w:rPr>
          <w:sz w:val="20"/>
          <w:szCs w:val="20"/>
          <w:color w:val="auto"/>
        </w:rPr>
      </w:pPr>
    </w:p>
    <w:p>
      <w:pPr>
        <w:ind w:firstLine="443"/>
        <w:spacing w:after="0" w:line="293" w:lineRule="auto"/>
        <w:tabs>
          <w:tab w:leader="none" w:pos="73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56" w:lineRule="exact"/>
        <w:rPr>
          <w:rFonts w:ascii="Arial" w:cs="Arial" w:eastAsia="Arial" w:hAnsi="Arial"/>
          <w:sz w:val="16"/>
          <w:szCs w:val="16"/>
          <w:color w:val="auto"/>
        </w:rPr>
      </w:pPr>
    </w:p>
    <w:p>
      <w:pPr>
        <w:ind w:right="60" w:firstLine="443"/>
        <w:spacing w:after="0" w:line="288" w:lineRule="auto"/>
        <w:tabs>
          <w:tab w:leader="none" w:pos="6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1" w:lineRule="exact"/>
        <w:rPr>
          <w:rFonts w:ascii="Arial" w:cs="Arial" w:eastAsia="Arial" w:hAnsi="Arial"/>
          <w:sz w:val="16"/>
          <w:szCs w:val="16"/>
          <w:color w:val="auto"/>
        </w:rPr>
      </w:pPr>
    </w:p>
    <w:p>
      <w:pPr>
        <w:ind w:left="700" w:hanging="257"/>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right="20"/>
        <w:spacing w:after="0" w:line="253"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 w:name="page16"/>
    <w:bookmarkEnd w:id="15"/>
    <w:p>
      <w:pPr>
        <w:ind w:left="420" w:right="60" w:firstLine="443"/>
        <w:spacing w:after="0" w:line="291" w:lineRule="auto"/>
        <w:tabs>
          <w:tab w:leader="none" w:pos="1103"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67" w:lineRule="exact"/>
        <w:rPr>
          <w:rFonts w:ascii="Arial" w:cs="Arial" w:eastAsia="Arial" w:hAnsi="Arial"/>
          <w:sz w:val="16"/>
          <w:szCs w:val="16"/>
          <w:color w:val="auto"/>
        </w:rPr>
      </w:pPr>
    </w:p>
    <w:p>
      <w:pPr>
        <w:jc w:val="both"/>
        <w:ind w:left="-40" w:right="40" w:firstLine="464"/>
        <w:spacing w:after="0" w:line="264" w:lineRule="auto"/>
        <w:tabs>
          <w:tab w:leader="none" w:pos="5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1" w:lineRule="exact"/>
        <w:rPr>
          <w:rFonts w:ascii="Arial" w:cs="Arial" w:eastAsia="Arial" w:hAnsi="Arial"/>
          <w:sz w:val="18"/>
          <w:szCs w:val="18"/>
          <w:color w:val="auto"/>
        </w:rPr>
      </w:pPr>
    </w:p>
    <w:p>
      <w:pPr>
        <w:ind w:left="-40" w:firstLine="464"/>
        <w:spacing w:after="0" w:line="291"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7" w:lineRule="exact"/>
        <w:rPr>
          <w:rFonts w:ascii="Arial" w:cs="Arial" w:eastAsia="Arial" w:hAnsi="Arial"/>
          <w:sz w:val="16"/>
          <w:szCs w:val="16"/>
          <w:color w:val="auto"/>
        </w:rPr>
      </w:pPr>
    </w:p>
    <w:p>
      <w:pPr>
        <w:ind w:left="600" w:hanging="17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117" w:lineRule="exact"/>
        <w:rPr>
          <w:rFonts w:ascii="Arial" w:cs="Arial" w:eastAsia="Arial" w:hAnsi="Arial"/>
          <w:sz w:val="18"/>
          <w:szCs w:val="18"/>
          <w:color w:val="auto"/>
        </w:rPr>
      </w:pPr>
    </w:p>
    <w:p>
      <w:pPr>
        <w:ind w:left="420" w:right="100" w:firstLine="443"/>
        <w:spacing w:after="0" w:line="279" w:lineRule="auto"/>
        <w:tabs>
          <w:tab w:leader="none" w:pos="1103"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64" w:lineRule="exact"/>
        <w:rPr>
          <w:sz w:val="20"/>
          <w:szCs w:val="20"/>
          <w:color w:val="auto"/>
        </w:rPr>
      </w:pPr>
    </w:p>
    <w:p>
      <w:pPr>
        <w:ind w:right="20" w:firstLine="443"/>
        <w:spacing w:after="0" w:line="269" w:lineRule="auto"/>
        <w:tabs>
          <w:tab w:leader="none" w:pos="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74" w:right="279" w:bottom="1440" w:gutter="0" w:footer="0" w:header="0"/>
        </w:sectPr>
      </w:pPr>
    </w:p>
    <w:bookmarkStart w:id="17" w:name="page18"/>
    <w:bookmarkEnd w:id="17"/>
    <w:p>
      <w:pPr>
        <w:ind w:right="20" w:firstLine="443"/>
        <w:spacing w:after="0" w:line="270" w:lineRule="auto"/>
        <w:tabs>
          <w:tab w:leader="none" w:pos="683"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69" w:lineRule="exact"/>
        <w:rPr>
          <w:rFonts w:ascii="Arial" w:cs="Arial" w:eastAsia="Arial" w:hAnsi="Arial"/>
          <w:sz w:val="17"/>
          <w:szCs w:val="17"/>
          <w:color w:val="auto"/>
        </w:rPr>
      </w:pPr>
    </w:p>
    <w:p>
      <w:pPr>
        <w:ind w:right="80" w:firstLine="443"/>
        <w:spacing w:after="0" w:line="257" w:lineRule="auto"/>
        <w:tabs>
          <w:tab w:leader="none" w:pos="6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80" w:lineRule="exact"/>
        <w:rPr>
          <w:rFonts w:ascii="Arial" w:cs="Arial" w:eastAsia="Arial" w:hAnsi="Arial"/>
          <w:sz w:val="18"/>
          <w:szCs w:val="18"/>
          <w:color w:val="auto"/>
        </w:rPr>
      </w:pPr>
    </w:p>
    <w:p>
      <w:pPr>
        <w:ind w:firstLine="443"/>
        <w:spacing w:after="0" w:line="255" w:lineRule="auto"/>
        <w:tabs>
          <w:tab w:leader="none" w:pos="6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81" w:lineRule="exact"/>
        <w:rPr>
          <w:rFonts w:ascii="Arial" w:cs="Arial" w:eastAsia="Arial" w:hAnsi="Arial"/>
          <w:sz w:val="18"/>
          <w:szCs w:val="18"/>
          <w:color w:val="auto"/>
        </w:rPr>
      </w:pPr>
    </w:p>
    <w:p>
      <w:pPr>
        <w:ind w:right="680" w:firstLine="443"/>
        <w:spacing w:after="0" w:line="277" w:lineRule="auto"/>
        <w:tabs>
          <w:tab w:leader="none" w:pos="6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delivered to each Underwriter, without charge, as many copies of each preliminary prospectus as such Underwriter reasonably</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8" w:name="page19"/>
    <w:bookmarkEnd w:id="18"/>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74" w:lineRule="exact"/>
        <w:rPr>
          <w:sz w:val="20"/>
          <w:szCs w:val="20"/>
          <w:color w:val="auto"/>
        </w:rPr>
      </w:pPr>
    </w:p>
    <w:p>
      <w:pPr>
        <w:ind w:firstLine="443"/>
        <w:spacing w:after="0" w:line="285" w:lineRule="auto"/>
        <w:tabs>
          <w:tab w:leader="none" w:pos="69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63" w:lineRule="exact"/>
        <w:rPr>
          <w:sz w:val="20"/>
          <w:szCs w:val="20"/>
          <w:color w:val="auto"/>
        </w:rPr>
      </w:pPr>
    </w:p>
    <w:p>
      <w:pPr>
        <w:ind w:right="160" w:firstLine="443"/>
        <w:spacing w:after="0" w:line="264" w:lineRule="auto"/>
        <w:tabs>
          <w:tab w:leader="none" w:pos="6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73" w:lineRule="exact"/>
        <w:rPr>
          <w:rFonts w:ascii="Arial" w:cs="Arial" w:eastAsia="Arial" w:hAnsi="Arial"/>
          <w:sz w:val="18"/>
          <w:szCs w:val="18"/>
          <w:color w:val="auto"/>
        </w:rPr>
      </w:pPr>
    </w:p>
    <w:p>
      <w:pPr>
        <w:ind w:firstLine="443"/>
        <w:spacing w:after="0" w:line="291" w:lineRule="auto"/>
        <w:tabs>
          <w:tab w:leader="none" w:pos="65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00" w:firstLine="4"/>
        <w:spacing w:after="0" w:line="302"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47" w:lineRule="exact"/>
        <w:rPr>
          <w:rFonts w:ascii="Arial" w:cs="Arial" w:eastAsia="Arial" w:hAnsi="Arial"/>
          <w:sz w:val="16"/>
          <w:szCs w:val="16"/>
          <w:color w:val="auto"/>
        </w:rPr>
      </w:pPr>
    </w:p>
    <w:p>
      <w:pPr>
        <w:ind w:right="280" w:firstLine="443"/>
        <w:spacing w:after="0" w:line="277" w:lineRule="auto"/>
        <w:tabs>
          <w:tab w:leader="none" w:pos="6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right="420" w:firstLine="443"/>
        <w:spacing w:after="0" w:line="277" w:lineRule="auto"/>
        <w:tabs>
          <w:tab w:leader="none" w:pos="6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62" w:lineRule="exact"/>
        <w:rPr>
          <w:rFonts w:ascii="Arial" w:cs="Arial" w:eastAsia="Arial" w:hAnsi="Arial"/>
          <w:sz w:val="18"/>
          <w:szCs w:val="18"/>
          <w:color w:val="auto"/>
        </w:rPr>
      </w:pPr>
    </w:p>
    <w:p>
      <w:pPr>
        <w:ind w:right="40" w:firstLine="443"/>
        <w:spacing w:after="0" w:line="271" w:lineRule="auto"/>
        <w:tabs>
          <w:tab w:leader="none" w:pos="653"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w:t>
      </w:r>
    </w:p>
    <w:p>
      <w:pPr>
        <w:spacing w:after="0" w:line="1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74" w:right="339" w:bottom="1440" w:gutter="0" w:footer="0" w:header="0"/>
        </w:sectPr>
      </w:pPr>
    </w:p>
    <w:bookmarkStart w:id="20" w:name="page21"/>
    <w:bookmarkEnd w:id="20"/>
    <w:p>
      <w:pPr>
        <w:ind w:left="45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81" w:lineRule="exact"/>
        <w:rPr>
          <w:sz w:val="20"/>
          <w:szCs w:val="20"/>
          <w:color w:val="auto"/>
        </w:rPr>
      </w:pPr>
    </w:p>
    <w:p>
      <w:pPr>
        <w:ind w:left="-8" w:right="40" w:firstLine="464"/>
        <w:spacing w:after="0" w:line="284" w:lineRule="auto"/>
        <w:tabs>
          <w:tab w:leader="none" w:pos="628"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w:t>
      </w:r>
    </w:p>
    <w:p>
      <w:pPr>
        <w:spacing w:after="0" w:line="1" w:lineRule="exact"/>
        <w:rPr>
          <w:rFonts w:ascii="Arial" w:cs="Arial" w:eastAsia="Arial" w:hAnsi="Arial"/>
          <w:sz w:val="16"/>
          <w:szCs w:val="16"/>
          <w:color w:val="auto"/>
        </w:rPr>
      </w:pPr>
    </w:p>
    <w:p>
      <w:pPr>
        <w:ind w:left="-8" w:firstLine="8"/>
        <w:spacing w:after="0" w:line="251"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98" w:lineRule="exact"/>
        <w:rPr>
          <w:rFonts w:ascii="Arial" w:cs="Arial" w:eastAsia="Arial" w:hAnsi="Arial"/>
          <w:sz w:val="18"/>
          <w:szCs w:val="18"/>
          <w:color w:val="auto"/>
        </w:rPr>
      </w:pPr>
    </w:p>
    <w:p>
      <w:pPr>
        <w:ind w:left="-8" w:right="100" w:firstLine="464"/>
        <w:spacing w:after="0" w:line="257" w:lineRule="auto"/>
        <w:tabs>
          <w:tab w:leader="none" w:pos="6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80" w:lineRule="exact"/>
        <w:rPr>
          <w:rFonts w:ascii="Arial" w:cs="Arial" w:eastAsia="Arial" w:hAnsi="Arial"/>
          <w:sz w:val="18"/>
          <w:szCs w:val="18"/>
          <w:color w:val="auto"/>
        </w:rPr>
      </w:pPr>
    </w:p>
    <w:p>
      <w:pPr>
        <w:ind w:left="1132" w:hanging="237"/>
        <w:spacing w:after="0"/>
        <w:tabs>
          <w:tab w:leader="none" w:pos="1132"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Prospectus containing the 430B Information, as amended or supplemented, in relation to the applicable Designated Securities shall have</w:t>
      </w:r>
    </w:p>
    <w:p>
      <w:pPr>
        <w:spacing w:after="0" w:line="46"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been</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4" w:right="279" w:bottom="1440" w:gutter="0" w:footer="0" w:header="0"/>
        </w:sectPr>
      </w:pPr>
    </w:p>
    <w:bookmarkStart w:id="21" w:name="page22"/>
    <w:bookmarkEnd w:id="21"/>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84" w:lineRule="exact"/>
        <w:rPr>
          <w:sz w:val="20"/>
          <w:szCs w:val="20"/>
          <w:color w:val="auto"/>
        </w:rPr>
      </w:pPr>
    </w:p>
    <w:p>
      <w:pPr>
        <w:ind w:right="60" w:firstLine="443"/>
        <w:spacing w:after="0" w:line="276" w:lineRule="auto"/>
        <w:tabs>
          <w:tab w:leader="none" w:pos="693"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Sidley Austin </w:t>
      </w:r>
      <w:r>
        <w:rPr>
          <w:rFonts w:ascii="Arial" w:cs="Arial" w:eastAsia="Arial" w:hAnsi="Arial"/>
          <w:sz w:val="14"/>
          <w:szCs w:val="14"/>
          <w:color w:val="auto"/>
        </w:rPr>
        <w:t>LLP</w:t>
      </w:r>
      <w:r>
        <w:rPr>
          <w:rFonts w:ascii="Arial" w:cs="Arial" w:eastAsia="Arial" w:hAnsi="Arial"/>
          <w:sz w:val="17"/>
          <w:szCs w:val="17"/>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7"/>
          <w:szCs w:val="17"/>
          <w:color w:val="auto"/>
        </w:rPr>
        <w:t xml:space="preserve"> may rely, as to all matters arising under or governed by the laws of the State of Maryland, on the opinion of Pillsbury Winthrop Shaw Pittman LLP);</w:t>
      </w:r>
    </w:p>
    <w:p>
      <w:pPr>
        <w:spacing w:after="0" w:line="64" w:lineRule="exact"/>
        <w:rPr>
          <w:rFonts w:ascii="Arial" w:cs="Arial" w:eastAsia="Arial" w:hAnsi="Arial"/>
          <w:sz w:val="17"/>
          <w:szCs w:val="17"/>
          <w:color w:val="auto"/>
        </w:rPr>
      </w:pPr>
    </w:p>
    <w:p>
      <w:pPr>
        <w:ind w:firstLine="443"/>
        <w:spacing w:after="0" w:line="312" w:lineRule="auto"/>
        <w:tabs>
          <w:tab w:leader="none" w:pos="6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38" w:lineRule="exact"/>
        <w:rPr>
          <w:rFonts w:ascii="Arial" w:cs="Arial" w:eastAsia="Arial" w:hAnsi="Arial"/>
          <w:sz w:val="16"/>
          <w:szCs w:val="16"/>
          <w:color w:val="auto"/>
        </w:rPr>
      </w:pPr>
    </w:p>
    <w:p>
      <w:pPr>
        <w:jc w:val="both"/>
        <w:ind w:right="500" w:firstLine="443"/>
        <w:spacing w:after="0" w:line="264" w:lineRule="auto"/>
        <w:tabs>
          <w:tab w:leader="none" w:pos="6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73" w:lineRule="exact"/>
        <w:rPr>
          <w:rFonts w:ascii="Arial" w:cs="Arial" w:eastAsia="Arial" w:hAnsi="Arial"/>
          <w:sz w:val="18"/>
          <w:szCs w:val="18"/>
          <w:color w:val="auto"/>
        </w:rPr>
      </w:pPr>
    </w:p>
    <w:p>
      <w:pPr>
        <w:ind w:firstLine="443"/>
        <w:spacing w:after="0" w:line="297" w:lineRule="auto"/>
        <w:tabs>
          <w:tab w:leader="none" w:pos="6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A3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 If the issuance of the Designated Securities constitutes a reopening of Previously-Issued Securities, no event of default, and no default that, with notice and/or lapse of time, would constitute an event of default, in respect of the Previously-Issued Securities has occurred or is continuing;</w:t>
      </w:r>
    </w:p>
    <w:p>
      <w:pPr>
        <w:spacing w:after="0" w:line="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 w:name="page23"/>
    <w:bookmarkEnd w:id="22"/>
    <w:p>
      <w:pPr>
        <w:ind w:firstLine="443"/>
        <w:spacing w:after="0" w:line="267" w:lineRule="auto"/>
        <w:tabs>
          <w:tab w:leader="none" w:pos="663"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Neither the Company nor any of its subsidiaries, considered as one enterprise, since the date of the last audited financial statements included or incorporated by reference in the Registration Statement,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February 12, 2014 between the Company and Wells Fargo Securities, LLC and (b) the Equity Distribution Agreement dated February 12, 2014 between the Company and Merrill Lynch, Pierce, Fenner &amp; Smith Incorporated,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80" w:lineRule="exact"/>
        <w:rPr>
          <w:rFonts w:ascii="Arial" w:cs="Arial" w:eastAsia="Arial" w:hAnsi="Arial"/>
          <w:sz w:val="17"/>
          <w:szCs w:val="17"/>
          <w:color w:val="auto"/>
        </w:rPr>
      </w:pPr>
    </w:p>
    <w:p>
      <w:pPr>
        <w:ind w:right="80" w:firstLine="443"/>
        <w:spacing w:after="0" w:line="279" w:lineRule="auto"/>
        <w:tabs>
          <w:tab w:leader="none" w:pos="693"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74" w:right="279" w:bottom="1440" w:gutter="0" w:footer="0" w:header="0"/>
        </w:sectPr>
      </w:pPr>
    </w:p>
    <w:bookmarkStart w:id="23" w:name="page24"/>
    <w:bookmarkEnd w:id="23"/>
    <w:p>
      <w:pPr>
        <w:ind w:left="460" w:firstLine="443"/>
        <w:spacing w:after="0" w:line="254" w:lineRule="auto"/>
        <w:tabs>
          <w:tab w:leader="none" w:pos="1153"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84" w:lineRule="exact"/>
        <w:rPr>
          <w:rFonts w:ascii="Arial" w:cs="Arial" w:eastAsia="Arial" w:hAnsi="Arial"/>
          <w:sz w:val="18"/>
          <w:szCs w:val="18"/>
          <w:color w:val="auto"/>
        </w:rPr>
      </w:pPr>
    </w:p>
    <w:p>
      <w:pPr>
        <w:ind w:left="460" w:right="320" w:firstLine="443"/>
        <w:spacing w:after="0" w:line="277" w:lineRule="auto"/>
        <w:tabs>
          <w:tab w:leader="none" w:pos="11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left="460" w:firstLine="443"/>
        <w:spacing w:after="0" w:line="257" w:lineRule="auto"/>
        <w:tabs>
          <w:tab w:leader="none" w:pos="11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88" w:lineRule="exact"/>
        <w:rPr>
          <w:rFonts w:ascii="Arial" w:cs="Arial" w:eastAsia="Arial" w:hAnsi="Arial"/>
          <w:sz w:val="18"/>
          <w:szCs w:val="18"/>
          <w:color w:val="auto"/>
        </w:rPr>
      </w:pPr>
    </w:p>
    <w:p>
      <w:pPr>
        <w:ind w:firstLine="464"/>
        <w:spacing w:after="0" w:line="270"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58" w:lineRule="exact"/>
        <w:rPr>
          <w:sz w:val="20"/>
          <w:szCs w:val="20"/>
          <w:color w:val="auto"/>
        </w:rPr>
      </w:pPr>
    </w:p>
    <w:p>
      <w:pPr>
        <w:ind w:firstLine="464"/>
        <w:spacing w:after="0" w:line="286" w:lineRule="auto"/>
        <w:tabs>
          <w:tab w:leader="none" w:pos="7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74" w:lineRule="exact"/>
        <w:rPr>
          <w:rFonts w:ascii="Arial" w:cs="Arial" w:eastAsia="Arial" w:hAnsi="Arial"/>
          <w:sz w:val="16"/>
          <w:szCs w:val="16"/>
          <w:color w:val="auto"/>
        </w:rPr>
      </w:pPr>
    </w:p>
    <w:p>
      <w:pPr>
        <w:ind w:right="40" w:firstLine="464"/>
        <w:spacing w:after="0" w:line="272" w:lineRule="auto"/>
        <w:tabs>
          <w:tab w:leader="none" w:pos="701"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9" w:lineRule="exact"/>
        <w:rPr>
          <w:sz w:val="20"/>
          <w:szCs w:val="20"/>
          <w:color w:val="auto"/>
        </w:rPr>
      </w:pPr>
    </w:p>
    <w:p>
      <w:pPr>
        <w:ind w:left="720" w:hanging="256"/>
        <w:spacing w:after="0"/>
        <w:tabs>
          <w:tab w:leader="none" w:pos="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46" w:lineRule="exact"/>
        <w:rPr>
          <w:rFonts w:ascii="Arial" w:cs="Arial" w:eastAsia="Arial" w:hAnsi="Arial"/>
          <w:sz w:val="16"/>
          <w:szCs w:val="16"/>
          <w:color w:val="auto"/>
        </w:rPr>
      </w:pPr>
    </w:p>
    <w:p>
      <w:pPr>
        <w:ind w:firstLine="8"/>
        <w:spacing w:after="0" w:line="284"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67" w:lineRule="exact"/>
        <w:rPr>
          <w:sz w:val="20"/>
          <w:szCs w:val="20"/>
          <w:color w:val="auto"/>
        </w:rPr>
      </w:pPr>
    </w:p>
    <w:p>
      <w:pPr>
        <w:ind w:right="60" w:firstLine="464"/>
        <w:spacing w:after="0" w:line="257"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88" w:lineRule="exact"/>
        <w:rPr>
          <w:sz w:val="20"/>
          <w:szCs w:val="20"/>
          <w:color w:val="auto"/>
        </w:rPr>
      </w:pPr>
    </w:p>
    <w:p>
      <w:pPr>
        <w:ind w:firstLine="464"/>
        <w:spacing w:after="0" w:line="287" w:lineRule="auto"/>
        <w:tabs>
          <w:tab w:leader="none" w:pos="6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7" w:name="page28"/>
    <w:bookmarkEnd w:id="27"/>
    <w:p>
      <w:pPr>
        <w:ind w:left="-8" w:firstLine="464"/>
        <w:spacing w:after="0" w:line="271" w:lineRule="auto"/>
        <w:tabs>
          <w:tab w:leader="none" w:pos="703" w:val="left"/>
        </w:tabs>
        <w:numPr>
          <w:ilvl w:val="1"/>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78" w:lineRule="exact"/>
        <w:rPr>
          <w:rFonts w:ascii="Arial" w:cs="Arial" w:eastAsia="Arial" w:hAnsi="Arial"/>
          <w:sz w:val="17"/>
          <w:szCs w:val="17"/>
          <w:color w:val="auto"/>
        </w:rPr>
      </w:pPr>
    </w:p>
    <w:p>
      <w:pPr>
        <w:ind w:left="-8" w:right="180" w:firstLine="464"/>
        <w:spacing w:after="0" w:line="288" w:lineRule="auto"/>
        <w:tabs>
          <w:tab w:leader="none" w:pos="693"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w:t>
      </w:r>
    </w:p>
    <w:p>
      <w:pPr>
        <w:jc w:val="both"/>
        <w:ind w:left="-8" w:right="140" w:firstLine="8"/>
        <w:spacing w:after="0" w:line="271" w:lineRule="auto"/>
        <w:tabs>
          <w:tab w:leader="none" w:pos="247" w:val="left"/>
        </w:tabs>
        <w:numPr>
          <w:ilvl w:val="0"/>
          <w:numId w:val="34"/>
        </w:numPr>
        <w:rPr>
          <w:rFonts w:ascii="Arial" w:cs="Arial" w:eastAsia="Arial" w:hAnsi="Arial"/>
          <w:sz w:val="17"/>
          <w:szCs w:val="17"/>
          <w:color w:val="auto"/>
        </w:rPr>
      </w:pPr>
      <w:r>
        <w:rPr>
          <w:rFonts w:ascii="Arial" w:cs="Arial" w:eastAsia="Arial" w:hAnsi="Arial"/>
          <w:sz w:val="17"/>
          <w:szCs w:val="17"/>
          <w:color w:val="auto"/>
        </w:rPr>
        <w:t>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79" w:lineRule="exact"/>
        <w:rPr>
          <w:sz w:val="20"/>
          <w:szCs w:val="20"/>
          <w:color w:val="auto"/>
        </w:rPr>
      </w:pPr>
    </w:p>
    <w:p>
      <w:pPr>
        <w:ind w:left="-8" w:right="60" w:firstLine="464"/>
        <w:spacing w:after="0" w:line="302" w:lineRule="auto"/>
        <w:tabs>
          <w:tab w:leader="none" w:pos="71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54" w:lineRule="exact"/>
        <w:rPr>
          <w:rFonts w:ascii="Arial" w:cs="Arial" w:eastAsia="Arial" w:hAnsi="Arial"/>
          <w:sz w:val="16"/>
          <w:szCs w:val="16"/>
          <w:color w:val="auto"/>
        </w:rPr>
      </w:pPr>
    </w:p>
    <w:p>
      <w:pPr>
        <w:ind w:left="-8" w:right="20" w:firstLine="464"/>
        <w:spacing w:after="0" w:line="257" w:lineRule="auto"/>
        <w:tabs>
          <w:tab w:leader="none" w:pos="7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74" w:right="239" w:bottom="1440" w:gutter="0" w:footer="0" w:header="0"/>
        </w:sectPr>
      </w:pPr>
    </w:p>
    <w:bookmarkStart w:id="28" w:name="page29"/>
    <w:bookmarkEnd w:id="28"/>
    <w:p>
      <w:pPr>
        <w:ind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47" w:lineRule="exact"/>
        <w:rPr>
          <w:sz w:val="20"/>
          <w:szCs w:val="20"/>
          <w:color w:val="auto"/>
        </w:rPr>
      </w:pPr>
    </w:p>
    <w:p>
      <w:pPr>
        <w:ind w:right="40" w:firstLine="464"/>
        <w:spacing w:after="0" w:line="286" w:lineRule="auto"/>
        <w:tabs>
          <w:tab w:leader="none" w:pos="72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78" w:lineRule="exact"/>
        <w:rPr>
          <w:sz w:val="20"/>
          <w:szCs w:val="20"/>
          <w:color w:val="auto"/>
        </w:rPr>
      </w:pPr>
    </w:p>
    <w:p>
      <w:pPr>
        <w:ind w:right="140" w:firstLine="464"/>
        <w:spacing w:after="0" w:line="277" w:lineRule="auto"/>
        <w:tabs>
          <w:tab w:leader="none" w:pos="7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464"/>
        <w:spacing w:after="0" w:line="276" w:lineRule="auto"/>
        <w:tabs>
          <w:tab w:leader="none" w:pos="72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72" w:lineRule="exact"/>
        <w:rPr>
          <w:rFonts w:ascii="Arial" w:cs="Arial" w:eastAsia="Arial" w:hAnsi="Arial"/>
          <w:sz w:val="17"/>
          <w:szCs w:val="17"/>
          <w:color w:val="auto"/>
        </w:rPr>
      </w:pPr>
    </w:p>
    <w:p>
      <w:pPr>
        <w:ind w:right="500" w:firstLine="464"/>
        <w:spacing w:after="0" w:line="277" w:lineRule="auto"/>
        <w:tabs>
          <w:tab w:leader="none" w:pos="7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10" w:lineRule="exact"/>
        <w:rPr>
          <w:rFonts w:ascii="Arial" w:cs="Arial" w:eastAsia="Arial" w:hAnsi="Arial"/>
          <w:sz w:val="16"/>
          <w:szCs w:val="16"/>
          <w:color w:val="auto"/>
        </w:rPr>
      </w:pPr>
    </w:p>
    <w:p>
      <w:pPr>
        <w:ind w:right="120" w:firstLine="464"/>
        <w:spacing w:after="0" w:line="342" w:lineRule="auto"/>
        <w:tabs>
          <w:tab w:leader="none" w:pos="7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Taylor,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M. Taylor, Jr.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4"/>
              </w:rPr>
              <w:t>Executive Vice President-Chief Financial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960"/>
          </w:cols>
          <w:pgMar w:left="70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w:t>
      </w:r>
      <w:r>
        <w:rPr>
          <w:rFonts w:ascii="Arial" w:cs="Arial" w:eastAsia="Arial" w:hAnsi="Arial"/>
          <w:sz w:val="15"/>
          <w:szCs w:val="15"/>
          <w:color w:val="auto"/>
        </w:rPr>
        <w:t>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Hurley</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Carolyn Hurley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Deutsche Bank Securities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Birnbaum</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Jared Birnbaum</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Debt Capital Markets Coverage – Corporate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Lourdes Solis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Lourdes Solis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660" w:type="dxa"/>
            <w:vAlign w:val="bottom"/>
          </w:tcPr>
          <w:p>
            <w:pPr>
              <w:spacing w:after="0"/>
              <w:rPr>
                <w:sz w:val="20"/>
                <w:szCs w:val="20"/>
                <w:color w:val="auto"/>
              </w:rPr>
            </w:pPr>
          </w:p>
        </w:tc>
        <w:tc>
          <w:tcPr>
            <w:tcW w:w="3920" w:type="dxa"/>
            <w:vAlign w:val="bottom"/>
          </w:tcPr>
          <w:p>
            <w:pPr>
              <w:ind w:left="940"/>
              <w:spacing w:after="0"/>
              <w:rPr>
                <w:sz w:val="20"/>
                <w:szCs w:val="20"/>
                <w:color w:val="auto"/>
              </w:rPr>
            </w:pPr>
            <w:r>
              <w:rPr>
                <w:rFonts w:ascii="Arial" w:cs="Arial" w:eastAsia="Arial" w:hAnsi="Arial"/>
                <w:sz w:val="18"/>
                <w:szCs w:val="18"/>
                <w:color w:val="auto"/>
              </w:rPr>
              <w:t>Incorporated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Wright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Greg Wright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16"/>
        </w:trPr>
        <w:tc>
          <w:tcPr>
            <w:tcW w:w="6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Co-Head of Americas Real Estate Investment</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Banking</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219"/>
          </w:cols>
          <w:pgMar w:left="240" w:top="27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March 11, 2015 (the “Underwriting Agreement”), between the Company on the one hand and Wells Fargo Securities, LLC, Deutsche Bank Securities Inc.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0" w:right="239" w:bottom="1440" w:gutter="0" w:footer="0" w:header="0"/>
        </w:sectPr>
      </w:pPr>
    </w:p>
    <w:bookmarkStart w:id="32" w:name="page33"/>
    <w:bookmarkEnd w:id="32"/>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280"/>
          </w:cols>
          <w:pgMar w:left="240" w:top="274" w:right="379" w:bottom="1440" w:gutter="0" w:footer="0" w:header="0"/>
        </w:sectPr>
      </w:pPr>
    </w:p>
    <w:bookmarkStart w:id="33" w:name="page34"/>
    <w:bookmarkEnd w:id="3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Wells Fargo Securities,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Deutsche Bank Securities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Pr>
          <w:p>
            <w:pPr>
              <w:ind w:left="940"/>
              <w:spacing w:after="0"/>
              <w:rPr>
                <w:sz w:val="20"/>
                <w:szCs w:val="20"/>
                <w:color w:val="auto"/>
              </w:rPr>
            </w:pPr>
            <w:r>
              <w:rPr>
                <w:rFonts w:ascii="Arial" w:cs="Arial" w:eastAsia="Arial" w:hAnsi="Arial"/>
                <w:sz w:val="18"/>
                <w:szCs w:val="18"/>
                <w:color w:val="auto"/>
              </w:rPr>
              <w:t>Incorporated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35" w:name="page36"/>
    <w:bookmarkEnd w:id="35"/>
    <w:tbl>
      <w:tblPr>
        <w:tblLayout w:type="fixed"/>
        <w:tblInd w:w="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40" w:type="dxa"/>
            <w:vAlign w:val="bottom"/>
            <w:gridSpan w:val="2"/>
          </w:tcPr>
          <w:p>
            <w:pPr>
              <w:ind w:left="280"/>
              <w:spacing w:after="0"/>
              <w:rPr>
                <w:sz w:val="20"/>
                <w:szCs w:val="20"/>
                <w:color w:val="auto"/>
              </w:rPr>
            </w:pPr>
            <w:r>
              <w:rPr>
                <w:rFonts w:ascii="Arial" w:cs="Arial" w:eastAsia="Arial" w:hAnsi="Arial"/>
                <w:sz w:val="18"/>
                <w:szCs w:val="18"/>
                <w:color w:val="auto"/>
              </w:rPr>
              <w:t>SCHEDULE I</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300" w:type="dxa"/>
            <w:vAlign w:val="bottom"/>
            <w:vMerge w:val="restart"/>
          </w:tcPr>
          <w:p>
            <w:pPr>
              <w:spacing w:after="0"/>
              <w:rPr>
                <w:sz w:val="24"/>
                <w:szCs w:val="24"/>
                <w:color w:val="auto"/>
              </w:rPr>
            </w:pPr>
          </w:p>
        </w:tc>
        <w:tc>
          <w:tcPr>
            <w:tcW w:w="4680" w:type="dxa"/>
            <w:vAlign w:val="bottom"/>
            <w:gridSpan w:val="4"/>
          </w:tcPr>
          <w:p>
            <w:pPr>
              <w:ind w:left="3320"/>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3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Incorporated</w:t>
            </w:r>
          </w:p>
        </w:tc>
        <w:tc>
          <w:tcPr>
            <w:tcW w:w="3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9019"/>
          </w:cols>
          <w:pgMar w:left="1440" w:top="274" w:right="1440" w:bottom="1440" w:gutter="0" w:footer="0" w:header="0"/>
        </w:sectPr>
      </w:pPr>
    </w:p>
    <w:bookmarkStart w:id="36" w:name="page37"/>
    <w:bookmarkEnd w:id="36"/>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2044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105.379% of the principal amount of the Designated Securities, plus accrued and unpaid interest from and including November 14, 2014 (the date of issuance of the original $250,000,000 aggregate principal amount of notes) to, but not including the issuance date of the notes offered hereby.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104.504%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2044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June 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180"/>
          </w:cols>
          <w:pgMar w:left="240" w:top="274"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3:35 p.m. (Eastern time) on March 11, 2015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16,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797-4561</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NY1-050-12-01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High Grade Transaction Management / Legal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855-5958</w:t>
      </w:r>
    </w:p>
    <w:p>
      <w:pPr>
        <w:spacing w:after="0" w:line="14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219"/>
          </w:cols>
          <w:pgMar w:left="240" w:top="27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1826"/>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56" w:lineRule="exact"/>
        <w:rPr>
          <w:sz w:val="20"/>
          <w:szCs w:val="20"/>
          <w:color w:val="auto"/>
        </w:rPr>
      </w:pPr>
    </w:p>
    <w:p>
      <w:pPr>
        <w:ind w:left="446" w:hanging="446"/>
        <w:spacing w:after="0"/>
        <w:tabs>
          <w:tab w:leader="none" w:pos="4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0966"/>
          </w:cols>
          <w:pgMar w:left="694" w:top="27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500" w:type="dxa"/>
            <w:vAlign w:val="bottom"/>
          </w:tcPr>
          <w:p>
            <w:pPr>
              <w:jc w:val="right"/>
              <w:spacing w:after="0"/>
              <w:rPr>
                <w:sz w:val="20"/>
                <w:szCs w:val="20"/>
                <w:color w:val="auto"/>
              </w:rPr>
            </w:pPr>
            <w:r>
              <w:rPr>
                <w:rFonts w:ascii="Arial" w:cs="Arial" w:eastAsia="Arial" w:hAnsi="Arial"/>
                <w:sz w:val="18"/>
                <w:szCs w:val="18"/>
                <w:b w:val="1"/>
                <w:bCs w:val="1"/>
                <w:color w:val="auto"/>
              </w:rPr>
              <w:t>Schedule I to Exhibit B</w:t>
            </w:r>
          </w:p>
        </w:tc>
      </w:tr>
      <w:tr>
        <w:trPr>
          <w:trHeight w:val="418"/>
        </w:trPr>
        <w:tc>
          <w:tcPr>
            <w:tcW w:w="2920" w:type="dxa"/>
            <w:vAlign w:val="bottom"/>
          </w:tcPr>
          <w:p>
            <w:pPr>
              <w:spacing w:after="0"/>
              <w:rPr>
                <w:sz w:val="24"/>
                <w:szCs w:val="24"/>
                <w:color w:val="auto"/>
              </w:rPr>
            </w:pPr>
          </w:p>
        </w:tc>
        <w:tc>
          <w:tcPr>
            <w:tcW w:w="850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2920" w:type="dxa"/>
            <w:vAlign w:val="bottom"/>
          </w:tcPr>
          <w:p>
            <w:pPr>
              <w:spacing w:after="0"/>
              <w:rPr>
                <w:sz w:val="18"/>
                <w:szCs w:val="18"/>
                <w:color w:val="auto"/>
              </w:rPr>
            </w:pPr>
          </w:p>
        </w:tc>
        <w:tc>
          <w:tcPr>
            <w:tcW w:w="8500" w:type="dxa"/>
            <w:vAlign w:val="bottom"/>
          </w:tcPr>
          <w:p>
            <w:pPr>
              <w:jc w:val="right"/>
              <w:spacing w:after="0"/>
              <w:rPr>
                <w:sz w:val="20"/>
                <w:szCs w:val="20"/>
                <w:color w:val="auto"/>
              </w:rPr>
            </w:pPr>
            <w:r>
              <w:rPr>
                <w:rFonts w:ascii="Arial" w:cs="Arial" w:eastAsia="Arial" w:hAnsi="Arial"/>
                <w:sz w:val="18"/>
                <w:szCs w:val="18"/>
                <w:color w:val="auto"/>
              </w:rPr>
              <w:t>Dated March 11, 2015</w:t>
            </w:r>
          </w:p>
        </w:tc>
      </w:tr>
      <w:tr>
        <w:trPr>
          <w:trHeight w:val="216"/>
        </w:trPr>
        <w:tc>
          <w:tcPr>
            <w:tcW w:w="2920" w:type="dxa"/>
            <w:vAlign w:val="bottom"/>
          </w:tcPr>
          <w:p>
            <w:pPr>
              <w:spacing w:after="0"/>
              <w:rPr>
                <w:sz w:val="18"/>
                <w:szCs w:val="18"/>
                <w:color w:val="auto"/>
              </w:rPr>
            </w:pPr>
          </w:p>
        </w:tc>
        <w:tc>
          <w:tcPr>
            <w:tcW w:w="8500" w:type="dxa"/>
            <w:vAlign w:val="bottom"/>
          </w:tcPr>
          <w:p>
            <w:pPr>
              <w:jc w:val="right"/>
              <w:spacing w:after="0"/>
              <w:rPr>
                <w:sz w:val="20"/>
                <w:szCs w:val="20"/>
                <w:color w:val="auto"/>
              </w:rPr>
            </w:pPr>
            <w:r>
              <w:rPr>
                <w:rFonts w:ascii="Arial" w:cs="Arial" w:eastAsia="Arial" w:hAnsi="Arial"/>
                <w:sz w:val="18"/>
                <w:szCs w:val="18"/>
                <w:color w:val="auto"/>
              </w:rPr>
              <w:t>Registration Statement No. 333-181236</w:t>
            </w:r>
          </w:p>
        </w:tc>
      </w:tr>
      <w:tr>
        <w:trPr>
          <w:trHeight w:val="216"/>
        </w:trPr>
        <w:tc>
          <w:tcPr>
            <w:tcW w:w="2920" w:type="dxa"/>
            <w:vAlign w:val="bottom"/>
          </w:tcPr>
          <w:p>
            <w:pPr>
              <w:spacing w:after="0"/>
              <w:rPr>
                <w:sz w:val="18"/>
                <w:szCs w:val="18"/>
                <w:color w:val="auto"/>
              </w:rPr>
            </w:pPr>
          </w:p>
        </w:tc>
        <w:tc>
          <w:tcPr>
            <w:tcW w:w="8500" w:type="dxa"/>
            <w:vAlign w:val="bottom"/>
          </w:tcPr>
          <w:p>
            <w:pPr>
              <w:jc w:val="right"/>
              <w:spacing w:after="0"/>
              <w:rPr>
                <w:sz w:val="20"/>
                <w:szCs w:val="20"/>
                <w:color w:val="auto"/>
              </w:rPr>
            </w:pPr>
            <w:r>
              <w:rPr>
                <w:rFonts w:ascii="Arial" w:cs="Arial" w:eastAsia="Arial" w:hAnsi="Arial"/>
                <w:sz w:val="18"/>
                <w:szCs w:val="18"/>
                <w:color w:val="auto"/>
              </w:rPr>
              <w:t>Relating to</w:t>
            </w:r>
          </w:p>
        </w:tc>
      </w:tr>
      <w:tr>
        <w:trPr>
          <w:trHeight w:val="216"/>
        </w:trPr>
        <w:tc>
          <w:tcPr>
            <w:tcW w:w="2920" w:type="dxa"/>
            <w:vAlign w:val="bottom"/>
          </w:tcPr>
          <w:p>
            <w:pPr>
              <w:spacing w:after="0"/>
              <w:rPr>
                <w:sz w:val="18"/>
                <w:szCs w:val="18"/>
                <w:color w:val="auto"/>
              </w:rPr>
            </w:pPr>
          </w:p>
        </w:tc>
        <w:tc>
          <w:tcPr>
            <w:tcW w:w="850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March 11, 2015 to</w:t>
            </w:r>
          </w:p>
        </w:tc>
      </w:tr>
      <w:tr>
        <w:trPr>
          <w:trHeight w:val="230"/>
        </w:trPr>
        <w:tc>
          <w:tcPr>
            <w:tcW w:w="2920" w:type="dxa"/>
            <w:vAlign w:val="bottom"/>
          </w:tcPr>
          <w:p>
            <w:pPr>
              <w:spacing w:after="0"/>
              <w:rPr>
                <w:sz w:val="20"/>
                <w:szCs w:val="20"/>
                <w:color w:val="auto"/>
              </w:rPr>
            </w:pPr>
          </w:p>
        </w:tc>
        <w:tc>
          <w:tcPr>
            <w:tcW w:w="8500" w:type="dxa"/>
            <w:vAlign w:val="bottom"/>
          </w:tcPr>
          <w:p>
            <w:pPr>
              <w:jc w:val="right"/>
              <w:spacing w:after="0"/>
              <w:rPr>
                <w:sz w:val="20"/>
                <w:szCs w:val="20"/>
                <w:color w:val="auto"/>
              </w:rPr>
            </w:pPr>
            <w:r>
              <w:rPr>
                <w:rFonts w:ascii="Arial" w:cs="Arial" w:eastAsia="Arial" w:hAnsi="Arial"/>
                <w:sz w:val="18"/>
                <w:szCs w:val="18"/>
                <w:color w:val="auto"/>
              </w:rPr>
              <w:t>Prospectus dated May 8, 2012</w:t>
            </w:r>
          </w:p>
        </w:tc>
      </w:tr>
      <w:tr>
        <w:trPr>
          <w:trHeight w:val="414"/>
        </w:trPr>
        <w:tc>
          <w:tcPr>
            <w:tcW w:w="2920" w:type="dxa"/>
            <w:vAlign w:val="bottom"/>
          </w:tcPr>
          <w:p>
            <w:pPr>
              <w:spacing w:after="0"/>
              <w:rPr>
                <w:sz w:val="24"/>
                <w:szCs w:val="24"/>
                <w:color w:val="auto"/>
              </w:rPr>
            </w:pPr>
          </w:p>
        </w:tc>
        <w:tc>
          <w:tcPr>
            <w:tcW w:w="8500" w:type="dxa"/>
            <w:vAlign w:val="bottom"/>
          </w:tcPr>
          <w:p>
            <w:pPr>
              <w:jc w:val="center"/>
              <w:ind w:right="2830"/>
              <w:spacing w:after="0"/>
              <w:rPr>
                <w:sz w:val="20"/>
                <w:szCs w:val="20"/>
                <w:color w:val="auto"/>
              </w:rPr>
            </w:pPr>
            <w:r>
              <w:rPr>
                <w:rFonts w:ascii="Arial" w:cs="Arial" w:eastAsia="Arial" w:hAnsi="Arial"/>
                <w:sz w:val="18"/>
                <w:szCs w:val="18"/>
                <w:b w:val="1"/>
                <w:bCs w:val="1"/>
                <w:color w:val="auto"/>
                <w:w w:val="91"/>
              </w:rPr>
              <w:t>Federal Realty Investment Trust</w:t>
            </w:r>
          </w:p>
        </w:tc>
      </w:tr>
      <w:tr>
        <w:trPr>
          <w:trHeight w:val="234"/>
        </w:trPr>
        <w:tc>
          <w:tcPr>
            <w:tcW w:w="2920" w:type="dxa"/>
            <w:vAlign w:val="bottom"/>
          </w:tcPr>
          <w:p>
            <w:pPr>
              <w:spacing w:after="0"/>
              <w:rPr>
                <w:sz w:val="20"/>
                <w:szCs w:val="20"/>
                <w:color w:val="auto"/>
              </w:rPr>
            </w:pPr>
          </w:p>
        </w:tc>
        <w:tc>
          <w:tcPr>
            <w:tcW w:w="8500" w:type="dxa"/>
            <w:vAlign w:val="bottom"/>
          </w:tcPr>
          <w:p>
            <w:pPr>
              <w:jc w:val="center"/>
              <w:ind w:right="2830"/>
              <w:spacing w:after="0"/>
              <w:rPr>
                <w:sz w:val="20"/>
                <w:szCs w:val="20"/>
                <w:color w:val="auto"/>
              </w:rPr>
            </w:pPr>
            <w:r>
              <w:rPr>
                <w:rFonts w:ascii="Arial" w:cs="Arial" w:eastAsia="Arial" w:hAnsi="Arial"/>
                <w:sz w:val="18"/>
                <w:szCs w:val="18"/>
                <w:b w:val="1"/>
                <w:bCs w:val="1"/>
                <w:color w:val="auto"/>
                <w:w w:val="90"/>
              </w:rPr>
              <w:t>4.50% Notes due 2044</w:t>
            </w:r>
          </w:p>
        </w:tc>
      </w:tr>
      <w:tr>
        <w:trPr>
          <w:trHeight w:val="432"/>
        </w:trPr>
        <w:tc>
          <w:tcPr>
            <w:tcW w:w="2920" w:type="dxa"/>
            <w:vAlign w:val="bottom"/>
          </w:tcPr>
          <w:p>
            <w:pPr>
              <w:spacing w:after="0"/>
              <w:rPr>
                <w:sz w:val="24"/>
                <w:szCs w:val="24"/>
                <w:color w:val="auto"/>
              </w:rPr>
            </w:pPr>
          </w:p>
        </w:tc>
        <w:tc>
          <w:tcPr>
            <w:tcW w:w="8500" w:type="dxa"/>
            <w:vAlign w:val="bottom"/>
          </w:tcPr>
          <w:p>
            <w:pPr>
              <w:jc w:val="center"/>
              <w:ind w:right="2830"/>
              <w:spacing w:after="0"/>
              <w:rPr>
                <w:sz w:val="20"/>
                <w:szCs w:val="20"/>
                <w:color w:val="auto"/>
              </w:rPr>
            </w:pPr>
            <w:r>
              <w:rPr>
                <w:rFonts w:ascii="Arial" w:cs="Arial" w:eastAsia="Arial" w:hAnsi="Arial"/>
                <w:sz w:val="18"/>
                <w:szCs w:val="18"/>
                <w:color w:val="auto"/>
                <w:w w:val="89"/>
              </w:rPr>
              <w:t>Term sheet dated March 11, 2015</w:t>
            </w:r>
          </w:p>
        </w:tc>
      </w:tr>
      <w:tr>
        <w:trPr>
          <w:trHeight w:val="567"/>
        </w:trPr>
        <w:tc>
          <w:tcPr>
            <w:tcW w:w="2920" w:type="dxa"/>
            <w:vAlign w:val="bottom"/>
          </w:tcPr>
          <w:p>
            <w:pPr>
              <w:spacing w:after="0"/>
              <w:rPr>
                <w:sz w:val="20"/>
                <w:szCs w:val="20"/>
                <w:color w:val="auto"/>
              </w:rPr>
            </w:pPr>
            <w:r>
              <w:rPr>
                <w:rFonts w:ascii="Arial" w:cs="Arial" w:eastAsia="Arial" w:hAnsi="Arial"/>
                <w:sz w:val="18"/>
                <w:szCs w:val="18"/>
                <w:color w:val="auto"/>
              </w:rPr>
              <w:t>Issuer:</w:t>
            </w:r>
          </w:p>
        </w:tc>
        <w:tc>
          <w:tcPr>
            <w:tcW w:w="8500" w:type="dxa"/>
            <w:vAlign w:val="bottom"/>
          </w:tcPr>
          <w:p>
            <w:pPr>
              <w:ind w:left="420"/>
              <w:spacing w:after="0"/>
              <w:rPr>
                <w:sz w:val="20"/>
                <w:szCs w:val="20"/>
                <w:color w:val="auto"/>
              </w:rPr>
            </w:pPr>
            <w:r>
              <w:rPr>
                <w:rFonts w:ascii="Arial" w:cs="Arial" w:eastAsia="Arial" w:hAnsi="Arial"/>
                <w:sz w:val="18"/>
                <w:szCs w:val="18"/>
                <w:color w:val="auto"/>
              </w:rPr>
              <w:t>Federal Realty Investment Trust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Security:</w:t>
            </w:r>
          </w:p>
        </w:tc>
        <w:tc>
          <w:tcPr>
            <w:tcW w:w="8500" w:type="dxa"/>
            <w:vAlign w:val="bottom"/>
          </w:tcPr>
          <w:p>
            <w:pPr>
              <w:ind w:left="420"/>
              <w:spacing w:after="0"/>
              <w:rPr>
                <w:sz w:val="20"/>
                <w:szCs w:val="20"/>
                <w:color w:val="auto"/>
              </w:rPr>
            </w:pPr>
            <w:r>
              <w:rPr>
                <w:rFonts w:ascii="Arial" w:cs="Arial" w:eastAsia="Arial" w:hAnsi="Arial"/>
                <w:sz w:val="18"/>
                <w:szCs w:val="18"/>
                <w:color w:val="auto"/>
              </w:rPr>
              <w:t>4.50% Notes due 2044</w:t>
            </w: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Expected Ratings*:</w:t>
            </w:r>
          </w:p>
        </w:tc>
        <w:tc>
          <w:tcPr>
            <w:tcW w:w="8500" w:type="dxa"/>
            <w:vAlign w:val="bottom"/>
          </w:tcPr>
          <w:p>
            <w:pPr>
              <w:ind w:left="420"/>
              <w:spacing w:after="0"/>
              <w:rPr>
                <w:sz w:val="20"/>
                <w:szCs w:val="20"/>
                <w:color w:val="auto"/>
              </w:rPr>
            </w:pPr>
            <w:r>
              <w:rPr>
                <w:rFonts w:ascii="Arial" w:cs="Arial" w:eastAsia="Arial" w:hAnsi="Arial"/>
                <w:sz w:val="18"/>
                <w:szCs w:val="18"/>
                <w:color w:val="auto"/>
              </w:rPr>
              <w:t>A3/A-/A-</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(Moody’s /S&amp;P /Fitch)</w:t>
            </w:r>
          </w:p>
        </w:tc>
        <w:tc>
          <w:tcPr>
            <w:tcW w:w="8500" w:type="dxa"/>
            <w:vAlign w:val="bottom"/>
          </w:tcPr>
          <w:p>
            <w:pPr>
              <w:spacing w:after="0"/>
              <w:rPr>
                <w:sz w:val="20"/>
                <w:szCs w:val="20"/>
                <w:color w:val="auto"/>
              </w:rPr>
            </w:pP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Principal Amount Offered Hereby:</w:t>
            </w:r>
          </w:p>
        </w:tc>
        <w:tc>
          <w:tcPr>
            <w:tcW w:w="8500" w:type="dxa"/>
            <w:vAlign w:val="bottom"/>
          </w:tcPr>
          <w:p>
            <w:pPr>
              <w:ind w:left="420"/>
              <w:spacing w:after="0"/>
              <w:rPr>
                <w:sz w:val="20"/>
                <w:szCs w:val="20"/>
                <w:color w:val="auto"/>
              </w:rPr>
            </w:pPr>
            <w:r>
              <w:rPr>
                <w:rFonts w:ascii="Arial" w:cs="Arial" w:eastAsia="Arial" w:hAnsi="Arial"/>
                <w:sz w:val="18"/>
                <w:szCs w:val="18"/>
                <w:color w:val="auto"/>
              </w:rPr>
              <w:t>$200,000,000</w:t>
            </w: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8500" w:type="dxa"/>
            <w:vAlign w:val="bottom"/>
          </w:tcPr>
          <w:p>
            <w:pPr>
              <w:spacing w:after="0"/>
              <w:rPr>
                <w:sz w:val="24"/>
                <w:szCs w:val="24"/>
                <w:color w:val="auto"/>
              </w:rPr>
            </w:pPr>
          </w:p>
        </w:tc>
      </w:tr>
      <w:tr>
        <w:trPr>
          <w:trHeight w:val="244"/>
        </w:trPr>
        <w:tc>
          <w:tcPr>
            <w:tcW w:w="2920" w:type="dxa"/>
            <w:vAlign w:val="bottom"/>
          </w:tcPr>
          <w:p>
            <w:pPr>
              <w:spacing w:after="0"/>
              <w:rPr>
                <w:sz w:val="20"/>
                <w:szCs w:val="20"/>
                <w:color w:val="auto"/>
              </w:rPr>
            </w:pPr>
            <w:r>
              <w:rPr>
                <w:rFonts w:ascii="Arial" w:cs="Arial" w:eastAsia="Arial" w:hAnsi="Arial"/>
                <w:sz w:val="18"/>
                <w:szCs w:val="18"/>
                <w:color w:val="auto"/>
              </w:rPr>
              <w:t>to be Outstanding:</w:t>
            </w:r>
          </w:p>
        </w:tc>
        <w:tc>
          <w:tcPr>
            <w:tcW w:w="8500" w:type="dxa"/>
            <w:vAlign w:val="bottom"/>
          </w:tcPr>
          <w:p>
            <w:pPr>
              <w:ind w:left="420"/>
              <w:spacing w:after="0"/>
              <w:rPr>
                <w:sz w:val="20"/>
                <w:szCs w:val="20"/>
                <w:color w:val="auto"/>
              </w:rPr>
            </w:pPr>
            <w:r>
              <w:rPr>
                <w:rFonts w:ascii="Arial" w:cs="Arial" w:eastAsia="Arial" w:hAnsi="Arial"/>
                <w:sz w:val="18"/>
                <w:szCs w:val="18"/>
                <w:color w:val="auto"/>
              </w:rPr>
              <w:t>$450,000,000</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Trade Date:</w:t>
            </w:r>
          </w:p>
        </w:tc>
        <w:tc>
          <w:tcPr>
            <w:tcW w:w="8500" w:type="dxa"/>
            <w:vAlign w:val="bottom"/>
          </w:tcPr>
          <w:p>
            <w:pPr>
              <w:ind w:left="420"/>
              <w:spacing w:after="0"/>
              <w:rPr>
                <w:sz w:val="20"/>
                <w:szCs w:val="20"/>
                <w:color w:val="auto"/>
              </w:rPr>
            </w:pPr>
            <w:r>
              <w:rPr>
                <w:rFonts w:ascii="Arial" w:cs="Arial" w:eastAsia="Arial" w:hAnsi="Arial"/>
                <w:sz w:val="18"/>
                <w:szCs w:val="18"/>
                <w:color w:val="auto"/>
              </w:rPr>
              <w:t>March 11, 2015</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Settlement Date:</w:t>
            </w:r>
          </w:p>
        </w:tc>
        <w:tc>
          <w:tcPr>
            <w:tcW w:w="8500" w:type="dxa"/>
            <w:vAlign w:val="bottom"/>
          </w:tcPr>
          <w:p>
            <w:pPr>
              <w:ind w:left="420"/>
              <w:spacing w:after="0"/>
              <w:rPr>
                <w:sz w:val="20"/>
                <w:szCs w:val="20"/>
                <w:color w:val="auto"/>
              </w:rPr>
            </w:pPr>
            <w:r>
              <w:rPr>
                <w:rFonts w:ascii="Arial" w:cs="Arial" w:eastAsia="Arial" w:hAnsi="Arial"/>
                <w:sz w:val="18"/>
                <w:szCs w:val="18"/>
                <w:color w:val="auto"/>
              </w:rPr>
              <w:t>March 16, 2015 (T+3)</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Maturity Date:</w:t>
            </w:r>
          </w:p>
        </w:tc>
        <w:tc>
          <w:tcPr>
            <w:tcW w:w="8500" w:type="dxa"/>
            <w:vAlign w:val="bottom"/>
          </w:tcPr>
          <w:p>
            <w:pPr>
              <w:ind w:left="420"/>
              <w:spacing w:after="0"/>
              <w:rPr>
                <w:sz w:val="20"/>
                <w:szCs w:val="20"/>
                <w:color w:val="auto"/>
              </w:rPr>
            </w:pPr>
            <w:r>
              <w:rPr>
                <w:rFonts w:ascii="Arial" w:cs="Arial" w:eastAsia="Arial" w:hAnsi="Arial"/>
                <w:sz w:val="18"/>
                <w:szCs w:val="18"/>
                <w:color w:val="auto"/>
              </w:rPr>
              <w:t>December 1, 2044</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500" w:type="dxa"/>
            <w:vAlign w:val="bottom"/>
          </w:tcPr>
          <w:p>
            <w:pPr>
              <w:ind w:left="420"/>
              <w:spacing w:after="0"/>
              <w:rPr>
                <w:sz w:val="20"/>
                <w:szCs w:val="20"/>
                <w:color w:val="auto"/>
              </w:rPr>
            </w:pPr>
            <w:r>
              <w:rPr>
                <w:rFonts w:ascii="Arial" w:cs="Arial" w:eastAsia="Arial" w:hAnsi="Arial"/>
                <w:sz w:val="18"/>
                <w:szCs w:val="18"/>
                <w:color w:val="auto"/>
              </w:rPr>
              <w:t>June 1 and December 1, beginning on June 1, 2015</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Benchmark Treasury:</w:t>
            </w:r>
          </w:p>
        </w:tc>
        <w:tc>
          <w:tcPr>
            <w:tcW w:w="8500" w:type="dxa"/>
            <w:vAlign w:val="bottom"/>
          </w:tcPr>
          <w:p>
            <w:pPr>
              <w:ind w:left="420"/>
              <w:spacing w:after="0"/>
              <w:rPr>
                <w:sz w:val="20"/>
                <w:szCs w:val="20"/>
                <w:color w:val="auto"/>
              </w:rPr>
            </w:pPr>
            <w:r>
              <w:rPr>
                <w:rFonts w:ascii="Arial" w:cs="Arial" w:eastAsia="Arial" w:hAnsi="Arial"/>
                <w:sz w:val="18"/>
                <w:szCs w:val="18"/>
                <w:color w:val="auto"/>
              </w:rPr>
              <w:t>3.00% due November 15, 2044</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Benchmark Treasury Price/Yield:</w:t>
            </w:r>
          </w:p>
        </w:tc>
        <w:tc>
          <w:tcPr>
            <w:tcW w:w="8500" w:type="dxa"/>
            <w:vAlign w:val="bottom"/>
          </w:tcPr>
          <w:p>
            <w:pPr>
              <w:ind w:left="420"/>
              <w:spacing w:after="0"/>
              <w:rPr>
                <w:sz w:val="20"/>
                <w:szCs w:val="20"/>
                <w:color w:val="auto"/>
              </w:rPr>
            </w:pPr>
            <w:r>
              <w:rPr>
                <w:rFonts w:ascii="Arial" w:cs="Arial" w:eastAsia="Arial" w:hAnsi="Arial"/>
                <w:sz w:val="18"/>
                <w:szCs w:val="18"/>
                <w:color w:val="auto"/>
              </w:rPr>
              <w:t>106-17 / 2.679%</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500" w:type="dxa"/>
            <w:vAlign w:val="bottom"/>
          </w:tcPr>
          <w:p>
            <w:pPr>
              <w:ind w:left="420"/>
              <w:spacing w:after="0"/>
              <w:rPr>
                <w:sz w:val="20"/>
                <w:szCs w:val="20"/>
                <w:color w:val="auto"/>
              </w:rPr>
            </w:pPr>
            <w:r>
              <w:rPr>
                <w:rFonts w:ascii="Arial" w:cs="Arial" w:eastAsia="Arial" w:hAnsi="Arial"/>
                <w:sz w:val="18"/>
                <w:szCs w:val="18"/>
                <w:color w:val="auto"/>
              </w:rPr>
              <w:t>+150 basis points</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Re-Offer Yield:</w:t>
            </w:r>
          </w:p>
        </w:tc>
        <w:tc>
          <w:tcPr>
            <w:tcW w:w="8500" w:type="dxa"/>
            <w:vAlign w:val="bottom"/>
          </w:tcPr>
          <w:p>
            <w:pPr>
              <w:ind w:left="420"/>
              <w:spacing w:after="0"/>
              <w:rPr>
                <w:sz w:val="20"/>
                <w:szCs w:val="20"/>
                <w:color w:val="auto"/>
              </w:rPr>
            </w:pPr>
            <w:r>
              <w:rPr>
                <w:rFonts w:ascii="Arial" w:cs="Arial" w:eastAsia="Arial" w:hAnsi="Arial"/>
                <w:sz w:val="18"/>
                <w:szCs w:val="18"/>
                <w:color w:val="auto"/>
              </w:rPr>
              <w:t>4.179%</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Coupon (Interest Rate):</w:t>
            </w:r>
          </w:p>
        </w:tc>
        <w:tc>
          <w:tcPr>
            <w:tcW w:w="8500" w:type="dxa"/>
            <w:vAlign w:val="bottom"/>
          </w:tcPr>
          <w:p>
            <w:pPr>
              <w:ind w:left="420"/>
              <w:spacing w:after="0"/>
              <w:rPr>
                <w:sz w:val="20"/>
                <w:szCs w:val="20"/>
                <w:color w:val="auto"/>
              </w:rPr>
            </w:pPr>
            <w:r>
              <w:rPr>
                <w:rFonts w:ascii="Arial" w:cs="Arial" w:eastAsia="Arial" w:hAnsi="Arial"/>
                <w:sz w:val="18"/>
                <w:szCs w:val="18"/>
                <w:color w:val="auto"/>
              </w:rPr>
              <w:t>4.50% per year</w:t>
            </w: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Price to Public:</w:t>
            </w:r>
          </w:p>
        </w:tc>
        <w:tc>
          <w:tcPr>
            <w:tcW w:w="8500" w:type="dxa"/>
            <w:vAlign w:val="bottom"/>
          </w:tcPr>
          <w:p>
            <w:pPr>
              <w:ind w:left="420"/>
              <w:spacing w:after="0"/>
              <w:rPr>
                <w:sz w:val="20"/>
                <w:szCs w:val="20"/>
                <w:color w:val="auto"/>
              </w:rPr>
            </w:pPr>
            <w:r>
              <w:rPr>
                <w:rFonts w:ascii="Arial" w:cs="Arial" w:eastAsia="Arial" w:hAnsi="Arial"/>
                <w:sz w:val="18"/>
                <w:szCs w:val="18"/>
                <w:color w:val="auto"/>
                <w:w w:val="93"/>
              </w:rPr>
              <w:t>105.379% of principal amount, plus accrued and unpaid interest from and including November 14, 2014 (the</w:t>
            </w:r>
          </w:p>
        </w:tc>
      </w:tr>
      <w:tr>
        <w:trPr>
          <w:trHeight w:val="216"/>
        </w:trPr>
        <w:tc>
          <w:tcPr>
            <w:tcW w:w="29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w w:val="94"/>
              </w:rPr>
              <w:t>date of issuance of the original $250,000,000 aggregate principal amount of notes) to, but not including, the</w:t>
            </w:r>
          </w:p>
        </w:tc>
      </w:tr>
      <w:tr>
        <w:trPr>
          <w:trHeight w:val="230"/>
        </w:trPr>
        <w:tc>
          <w:tcPr>
            <w:tcW w:w="2920" w:type="dxa"/>
            <w:vAlign w:val="bottom"/>
          </w:tcPr>
          <w:p>
            <w:pPr>
              <w:spacing w:after="0"/>
              <w:rPr>
                <w:sz w:val="20"/>
                <w:szCs w:val="20"/>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Settlement Date in the amount of $3,050,000.00</w:t>
            </w:r>
          </w:p>
        </w:tc>
      </w:tr>
    </w:tbl>
    <w:p>
      <w:pPr>
        <w:ind w:left="42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ind w:right="140"/>
        <w:spacing w:after="0" w:line="286" w:lineRule="auto"/>
        <w:rPr>
          <w:sz w:val="20"/>
          <w:szCs w:val="20"/>
          <w:color w:val="auto"/>
        </w:rPr>
      </w:pPr>
      <w:r>
        <w:rPr>
          <w:rFonts w:ascii="Arial" w:cs="Arial" w:eastAsia="Arial" w:hAnsi="Arial"/>
          <w:sz w:val="17"/>
          <w:szCs w:val="17"/>
          <w:color w:val="auto"/>
        </w:rPr>
        <w:t>At any time before June 1, 2044, make-whole call based on U.S. Treasury plus 25 basis points (0.25%); if redeemed on or after June 1, 2044, at 100% of the principal amount of the notes being redeemed, in each case plus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-596900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2620" w:space="720"/>
            <w:col w:w="8040"/>
          </w:cols>
          <w:pgMar w:left="240" w:top="382" w:right="279" w:bottom="1440" w:gutter="0" w:footer="0" w:header="0"/>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AV9 / US 313747AV99</w:t>
      </w:r>
    </w:p>
    <w:p>
      <w:pPr>
        <w:spacing w:after="0" w:line="140" w:lineRule="exact"/>
        <w:rPr>
          <w:sz w:val="20"/>
          <w:szCs w:val="20"/>
          <w:color w:val="auto"/>
        </w:rPr>
      </w:pPr>
    </w:p>
    <w:p>
      <w:pPr>
        <w:sectPr>
          <w:pgSz w:w="11900" w:h="16838" w:orient="portrait"/>
          <w:cols w:equalWidth="0" w:num="2">
            <w:col w:w="2620" w:space="720"/>
            <w:col w:w="8040"/>
          </w:cols>
          <w:pgMar w:left="240" w:top="382" w:right="2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116" w:lineRule="exact"/>
        <w:rPr>
          <w:sz w:val="20"/>
          <w:szCs w:val="20"/>
          <w:color w:val="auto"/>
        </w:rPr>
      </w:pPr>
    </w:p>
    <w:p>
      <w:pPr>
        <w:sectPr>
          <w:pgSz w:w="11900" w:h="16838" w:orient="portrait"/>
          <w:cols w:equalWidth="0" w:num="2">
            <w:col w:w="2620" w:space="720"/>
            <w:col w:w="8040"/>
          </w:cols>
          <w:pgMar w:left="240" w:top="382" w:right="27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Regions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2620" w:space="720"/>
            <w:col w:w="8040"/>
          </w:cols>
          <w:pgMar w:left="240" w:top="382" w:right="27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Wells Fargo Securities, LLC toll free at 1-800-645-3751, (ii) Deutsche Bank Securities Inc. toll free at 1-800-503-4611, or (iii) Merrill Lynch, Pierce, Fenner &amp; Smith Incorporated toll free at 1-800-294-1322.</w:t>
      </w:r>
    </w:p>
    <w:p>
      <w:pPr>
        <w:spacing w:after="0" w:line="172"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1380"/>
          </w:cols>
          <w:pgMar w:left="240" w:top="382" w:right="27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March 11,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March 11, 2015 (the “Underwriting Agreement”), between the Company on the one hand and Wells Fargo Securities, LLC, Deutsche Bank Securities Inc.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w:t>
      </w:r>
    </w:p>
    <w:p>
      <w:pPr>
        <w:sectPr>
          <w:pgSz w:w="11900" w:h="16838" w:orient="portrait"/>
          <w:cols w:equalWidth="0" w:num="1">
            <w:col w:w="11420"/>
          </w:cols>
          <w:pgMar w:left="240" w:top="121" w:right="239" w:bottom="1440" w:gutter="0" w:footer="0" w:header="0"/>
        </w:sectPr>
      </w:pPr>
    </w:p>
    <w:bookmarkStart w:id="42" w:name="page43"/>
    <w:bookmarkEnd w:id="42"/>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43" w:name="page44"/>
    <w:bookmarkEnd w:id="43"/>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Taylor,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M. Taylor, Jr.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President-Chief</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Financial Officer and Treasurer</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Hurley</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Carolyn Hurley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Deutsche Bank Securities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Birnbaum</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Jared Birnbaum</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Debt Capital Markets Coverage – Corporate</w:t>
            </w:r>
          </w:p>
        </w:tc>
      </w:tr>
      <w:tr>
        <w:trPr>
          <w:trHeight w:val="44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Lourdes Solis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Lourdes Solis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660" w:type="dxa"/>
            <w:vAlign w:val="bottom"/>
          </w:tcPr>
          <w:p>
            <w:pPr>
              <w:spacing w:after="0"/>
              <w:rPr>
                <w:sz w:val="20"/>
                <w:szCs w:val="20"/>
                <w:color w:val="auto"/>
              </w:rPr>
            </w:pPr>
          </w:p>
        </w:tc>
        <w:tc>
          <w:tcPr>
            <w:tcW w:w="3920" w:type="dxa"/>
            <w:vAlign w:val="bottom"/>
          </w:tcPr>
          <w:p>
            <w:pPr>
              <w:ind w:left="940"/>
              <w:spacing w:after="0"/>
              <w:rPr>
                <w:sz w:val="20"/>
                <w:szCs w:val="20"/>
                <w:color w:val="auto"/>
              </w:rPr>
            </w:pPr>
            <w:r>
              <w:rPr>
                <w:rFonts w:ascii="Arial" w:cs="Arial" w:eastAsia="Arial" w:hAnsi="Arial"/>
                <w:sz w:val="18"/>
                <w:szCs w:val="18"/>
                <w:color w:val="auto"/>
              </w:rPr>
              <w:t>Incorporated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Wright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Greg Wright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16"/>
        </w:trPr>
        <w:tc>
          <w:tcPr>
            <w:tcW w:w="6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Co-Head of Americas Real Estate Investment</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Banking</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45" w:name="page46"/>
    <w:bookmarkEnd w:id="45"/>
    <w:tbl>
      <w:tblPr>
        <w:tblLayout w:type="fixed"/>
        <w:tblInd w:w="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40" w:type="dxa"/>
            <w:vAlign w:val="bottom"/>
            <w:gridSpan w:val="2"/>
          </w:tcPr>
          <w:p>
            <w:pPr>
              <w:ind w:left="280"/>
              <w:spacing w:after="0"/>
              <w:rPr>
                <w:sz w:val="20"/>
                <w:szCs w:val="20"/>
                <w:color w:val="auto"/>
              </w:rPr>
            </w:pPr>
            <w:r>
              <w:rPr>
                <w:rFonts w:ascii="Arial" w:cs="Arial" w:eastAsia="Arial" w:hAnsi="Arial"/>
                <w:sz w:val="18"/>
                <w:szCs w:val="18"/>
                <w:color w:val="auto"/>
              </w:rPr>
              <w:t>SCHEDULE I</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300" w:type="dxa"/>
            <w:vAlign w:val="bottom"/>
            <w:vMerge w:val="restart"/>
          </w:tcPr>
          <w:p>
            <w:pPr>
              <w:spacing w:after="0"/>
              <w:rPr>
                <w:sz w:val="24"/>
                <w:szCs w:val="24"/>
                <w:color w:val="auto"/>
              </w:rPr>
            </w:pPr>
          </w:p>
        </w:tc>
        <w:tc>
          <w:tcPr>
            <w:tcW w:w="4680" w:type="dxa"/>
            <w:vAlign w:val="bottom"/>
            <w:gridSpan w:val="4"/>
          </w:tcPr>
          <w:p>
            <w:pPr>
              <w:ind w:left="3320"/>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3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2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Incorporated</w:t>
            </w:r>
          </w:p>
        </w:tc>
        <w:tc>
          <w:tcPr>
            <w:tcW w:w="3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2044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105.379% of the principal amount of the Designated Securities, plus accrued and unpaid interest from and including November 14, 2014 (the date of issuance of the original $250,000,000 aggregate principal amount of notes) to, but not including the issuance date of the notes offered hereby.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104.504%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2044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June 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ectPr>
          <w:pgSz w:w="11900" w:h="16838" w:orient="portrait"/>
          <w:cols w:equalWidth="0" w:num="1">
            <w:col w:w="11180"/>
          </w:cols>
          <w:pgMar w:left="240" w:top="274"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3:35 p.m. (Eastern time) on March 11, 2015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16,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797-4561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NY1-050-12-01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High Grade Transaction Management / Legal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855-5958</w:t>
      </w:r>
    </w:p>
    <w:p>
      <w:pPr>
        <w:sectPr>
          <w:pgSz w:w="11900" w:h="16838" w:orient="portrait"/>
          <w:cols w:equalWidth="0" w:num="1">
            <w:col w:w="10219"/>
          </w:cols>
          <w:pgMar w:left="240" w:top="27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Note due 2044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CUSIP No. 313747 AV9</w:t>
            </w:r>
          </w:p>
        </w:tc>
        <w:tc>
          <w:tcPr>
            <w:tcW w:w="5300" w:type="dxa"/>
            <w:vAlign w:val="bottom"/>
          </w:tcPr>
          <w:p>
            <w:pPr>
              <w:jc w:val="right"/>
              <w:spacing w:after="0"/>
              <w:rPr>
                <w:sz w:val="20"/>
                <w:szCs w:val="20"/>
                <w:color w:val="auto"/>
              </w:rPr>
            </w:pPr>
            <w:r>
              <w:rPr>
                <w:rFonts w:ascii="Arial" w:cs="Arial" w:eastAsia="Arial" w:hAnsi="Arial"/>
                <w:sz w:val="18"/>
                <w:szCs w:val="18"/>
                <w:color w:val="auto"/>
              </w:rPr>
              <w:t>$200,000,000</w:t>
            </w:r>
          </w:p>
        </w:tc>
      </w:tr>
    </w:tbl>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Two Hundred Million Dollars ($200,000,000) on December 1, 2044 (the “Stated Maturity Date”) or the date fixed for earlier redemption (the “Redemption Date,” and together with the Stated Maturity Date with respect to principal repayable on such date, the “Maturity Date”), and to pay interest on the outstanding principal amount thereof from November 14, 2014 or from the most recent interest payment date to which interest has been paid or duly provided for, semi-annually on June 1 and December 1 in each year (each, an “Interest Payment Date”), commencing June 1, 2015, at the rate of 4.50%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May 15 or November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420"/>
          </w:cols>
          <w:pgMar w:left="240" w:top="121" w:right="23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8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November 14, 2014,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0" w:name="page51"/>
    <w:bookmarkEnd w:id="5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M. Taylor,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080"/>
          </w:cols>
          <w:pgMar w:left="240" w:top="274" w:right="5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4.50% Note due 2044</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“4.50% Notes due 2044” (collectively, the “Notes”), and the aggregate principal amount of the Notes to be issued under such series is limited to $450,000,000 as of the date hereof (except for Notes authenticated and delivered upon transfer of, or in exchange for, or in lieu of other Notes). This Note forms a single series with the 4.50% Notes due 2044 first issued by the Company as of November 14, 2014.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60" w:right="480" w:firstLine="443"/>
        <w:spacing w:after="0" w:line="277" w:lineRule="auto"/>
        <w:tabs>
          <w:tab w:leader="none" w:pos="11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400"/>
          </w:cols>
          <w:pgMar w:left="240" w:top="274" w:right="259" w:bottom="1440" w:gutter="0" w:footer="0" w:header="0"/>
        </w:sectPr>
      </w:pPr>
    </w:p>
    <w:bookmarkStart w:id="52" w:name="page53"/>
    <w:bookmarkEnd w:id="52"/>
    <w:p>
      <w:pPr>
        <w:ind w:right="80" w:firstLine="443"/>
        <w:spacing w:after="0" w:line="276" w:lineRule="auto"/>
        <w:tabs>
          <w:tab w:leader="none" w:pos="693"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64" w:lineRule="exact"/>
        <w:rPr>
          <w:rFonts w:ascii="Arial" w:cs="Arial" w:eastAsia="Arial" w:hAnsi="Arial"/>
          <w:sz w:val="17"/>
          <w:szCs w:val="17"/>
          <w:color w:val="auto"/>
        </w:rPr>
      </w:pPr>
    </w:p>
    <w:p>
      <w:pPr>
        <w:ind w:firstLine="443"/>
        <w:spacing w:after="0" w:line="290" w:lineRule="auto"/>
        <w:tabs>
          <w:tab w:leader="none" w:pos="6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58" w:lineRule="exact"/>
        <w:rPr>
          <w:rFonts w:ascii="Arial" w:cs="Arial" w:eastAsia="Arial" w:hAnsi="Arial"/>
          <w:sz w:val="16"/>
          <w:szCs w:val="16"/>
          <w:color w:val="auto"/>
        </w:rPr>
      </w:pPr>
    </w:p>
    <w:p>
      <w:pPr>
        <w:ind w:left="700" w:hanging="25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1040" w:right="320" w:hanging="8"/>
        <w:spacing w:after="0" w:line="277" w:lineRule="auto"/>
        <w:tabs>
          <w:tab w:leader="none" w:pos="1285" w:val="left"/>
        </w:tabs>
        <w:numPr>
          <w:ilvl w:val="1"/>
          <w:numId w:val="40"/>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53" w:name="page54"/>
    <w:bookmarkEnd w:id="53"/>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June 1, 2044,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(twenty-five one-hundredths of one percent) plus, in each case, accrued interest thereon to, but excluding, the Redemption Date or (y) if the Notes are redeemed on or after June 1, 2044,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60" w:right="6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7" w:lineRule="exact"/>
        <w:rPr>
          <w:sz w:val="20"/>
          <w:szCs w:val="20"/>
          <w:color w:val="auto"/>
        </w:rPr>
      </w:pPr>
    </w:p>
    <w:p>
      <w:pPr>
        <w:ind w:left="460" w:right="22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17" w:lineRule="exact"/>
        <w:rPr>
          <w:sz w:val="20"/>
          <w:szCs w:val="20"/>
          <w:color w:val="auto"/>
        </w:rPr>
      </w:pPr>
    </w:p>
    <w:p>
      <w:pPr>
        <w:ind w:left="460" w:right="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a Primary Treasury Dealer (as defined below) selected by Wells Fargo Securities, LLC, Merrill Lynch, Pierce, Fenner &amp; Smith Incorporated and Deutsche Bank Securities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Reference Treasury Dealers ceases to be a primary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4" w:name="page55"/>
    <w:bookmarkEnd w:id="54"/>
    <w:p>
      <w:pPr>
        <w:ind w:left="46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 securities dealer (a “Primary Treasury Dealer”), the Company will substitute therefor another Primary Treasury Dealer, and (2) any two other Primary Treasury Dealers selected by the Company.</w:t>
      </w:r>
    </w:p>
    <w:p>
      <w:pPr>
        <w:spacing w:after="0" w:line="62"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20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5" w:name="page56"/>
    <w:bookmarkEnd w:id="5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8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8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 or any related repayment of Debt had occurred as of the first day of such period with the appropriate adjustments with respect to such acquisition or disposition being included in such unaudited pro forma calculation.</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3"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3"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60" w:right="120" w:firstLine="43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w:t>
      </w:r>
      <w:r>
        <w:rPr>
          <w:rFonts w:ascii="Arial" w:cs="Arial" w:eastAsia="Arial" w:hAnsi="Arial"/>
          <w:sz w:val="17"/>
          <w:szCs w:val="17"/>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7" w:name="page58"/>
    <w:bookmarkEnd w:id="57"/>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59" w:lineRule="exact"/>
        <w:rPr>
          <w:sz w:val="20"/>
          <w:szCs w:val="20"/>
          <w:color w:val="auto"/>
        </w:rPr>
      </w:pPr>
    </w:p>
    <w:p>
      <w:pPr>
        <w:ind w:right="2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40" w:firstLine="4"/>
        <w:spacing w:after="0" w:line="255"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right="3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right="14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38" w:lineRule="exact"/>
        <w:rPr>
          <w:sz w:val="20"/>
          <w:szCs w:val="20"/>
          <w:color w:val="auto"/>
        </w:rPr>
      </w:pPr>
    </w:p>
    <w:p>
      <w:pPr>
        <w:ind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3" w:lineRule="exact"/>
        <w:rPr>
          <w:sz w:val="20"/>
          <w:szCs w:val="20"/>
          <w:color w:val="auto"/>
        </w:rPr>
      </w:pPr>
    </w:p>
    <w:p>
      <w:pPr>
        <w:ind w:firstLine="43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Unencumbered Total Asset Value</w:t>
      </w:r>
      <w:r>
        <w:rPr>
          <w:rFonts w:ascii="Arial" w:cs="Arial" w:eastAsia="Arial" w:hAnsi="Arial"/>
          <w:sz w:val="17"/>
          <w:szCs w:val="17"/>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companies and other unconsolidated entities accounted for financial reporting purposes using the equity method of accounting in accordance with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accepted accounting principles shall be excluded from Unencumbered Total Asset Value.</w:t>
      </w:r>
    </w:p>
    <w:p>
      <w:pPr>
        <w:spacing w:after="0" w:line="21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24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$200,000,000 aggregate principal amount of 4.50% Notes due 2044 (the “Notes”) of the Company, pursuant to the Underwriting Agreement and related Pricing Agreement, each dated March 11, 2015,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March 16, 2015 setting forth the terms of the Notes, the “Indenture”).</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333-181236) (the “Registration Statement”) filed by the Company to register the offer and sale of the Notes with the Securities and Exchange Commission (the “Commission”) under the Securities Act of 1933 (the “Securities Act”), (d) the Prospectus dated May 8, 2012, as supplemented by the Prospectus Supplement dated March 11, 2015,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73"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w:t>
      </w:r>
    </w:p>
    <w:p>
      <w:pPr>
        <w:sectPr>
          <w:pgSz w:w="11900" w:h="16838" w:orient="portrait"/>
          <w:cols w:equalWidth="0" w:num="1">
            <w:col w:w="11420"/>
          </w:cols>
          <w:pgMar w:left="240" w:top="121" w:right="239" w:bottom="1440" w:gutter="0" w:footer="0" w:header="0"/>
        </w:sectPr>
      </w:pPr>
    </w:p>
    <w:bookmarkStart w:id="60" w:name="page61"/>
    <w:bookmarkEnd w:id="60"/>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March 17, 2015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March 11, 2015 (the “Prospectus Supplement”) to a prospectus (the “Base Prospectus”) filed as part of a registration statement on Form S-3 (File No. 333-181236,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1" w:right="239" w:bottom="1440" w:gutter="0" w:footer="0" w:header="0"/>
        </w:sectPr>
      </w:pPr>
    </w:p>
    <w:bookmarkStart w:id="62" w:name="page63"/>
    <w:bookmarkEnd w:id="6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(2015) taxable year and for future taxable years, and (iii) the discussions in (x) the Prospectus under the caption “Material Federal Income Tax Considerations,” (y) the Prospectus Supplement under the caption “Additional Material Federal Income Tax Considerations,” and (z) the Company’s Annual Report on Form 10-K for the year ended December 31, 2014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6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400"/>
          </w:cols>
          <w:pgMar w:left="240" w:top="274" w:right="259" w:bottom="1440" w:gutter="0" w:footer="0" w:header="0"/>
        </w:sectPr>
      </w:pPr>
    </w:p>
    <w:bookmarkStart w:id="63" w:name="page64"/>
    <w:bookmarkEnd w:id="63"/>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right="476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color w:val="auto"/>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2"/>
                <w:szCs w:val="12"/>
                <w:color w:val="auto"/>
              </w:rPr>
            </w:pPr>
          </w:p>
        </w:tc>
        <w:tc>
          <w:tcPr>
            <w:tcW w:w="76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or loss from equity investees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$165,655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$134,986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$139,380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126,715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105,137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118,920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114,066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98,851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income of subsidiaries with no fixed charges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268,882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253,198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253,540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225,664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227,253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$104,486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$ 118,281</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$ 113,336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98,169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16,181</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126,108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135,101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124,171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106,948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340"/>
              <w:spacing w:after="0"/>
              <w:rPr>
                <w:sz w:val="20"/>
                <w:szCs w:val="20"/>
                <w:color w:val="auto"/>
              </w:rPr>
            </w:pPr>
            <w:r>
              <w:rPr>
                <w:rFonts w:ascii="Arial" w:cs="Arial" w:eastAsia="Arial" w:hAnsi="Arial"/>
                <w:sz w:val="18"/>
                <w:szCs w:val="18"/>
                <w:color w:val="auto"/>
              </w:rPr>
              <w:t>Preferred stock dividends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and preferred stock dividends (C)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126,649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135,642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124,712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107,489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112,526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5"/>
              </w:rPr>
              <w:t>Ratio of earnings to combined fixed charges and preferred stock dividends (A divided by C)</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lvl w:ilvl="1">
      <w:lvlJc w:val="left"/>
      <w:lvlText w:val="(%2)"/>
      <w:numFmt w:val="lowerLetter"/>
      <w:start w:val="1"/>
    </w:lvl>
  </w:abstractNum>
  <w:abstractNum w:abstractNumId="2">
    <w:nsid w:val="2443A858"/>
    <w:multiLevelType w:val="hybridMultilevel"/>
    <w:lvl w:ilvl="0">
      <w:lvlJc w:val="left"/>
      <w:lvlText w:val="%1"/>
      <w:numFmt w:val="decimal"/>
      <w:start w:val="1"/>
    </w:lvl>
    <w:lvl w:ilvl="1">
      <w:lvlJc w:val="left"/>
      <w:lvlText w:val="(%2)"/>
      <w:numFmt w:val="lowerLetter"/>
      <w:start w:val="2"/>
    </w:lvl>
  </w:abstractNum>
  <w:abstractNum w:abstractNumId="3">
    <w:nsid w:val="2D1D5AE9"/>
    <w:multiLevelType w:val="hybridMultilevel"/>
    <w:lvl w:ilvl="0">
      <w:lvlJc w:val="left"/>
      <w:lvlText w:val="(%1)"/>
      <w:numFmt w:val="decimal"/>
      <w:start w:val="2"/>
    </w:lvl>
    <w:lvl w:ilvl="1">
      <w:lvlJc w:val="left"/>
      <w:lvlText w:val="%2"/>
      <w:numFmt w:val="lowerLetter"/>
      <w:start w:val="1"/>
    </w:lvl>
  </w:abstractNum>
  <w:abstractNum w:abstractNumId="4">
    <w:nsid w:val="6763845E"/>
    <w:multiLevelType w:val="hybridMultilevel"/>
    <w:lvl w:ilvl="0">
      <w:lvlJc w:val="left"/>
      <w:lvlText w:val="(%1)"/>
      <w:numFmt w:val="lowerLetter"/>
      <w:start w:val="3"/>
    </w:lvl>
  </w:abstractNum>
  <w:abstractNum w:abstractNumId="5">
    <w:nsid w:val="75A2A8D4"/>
    <w:multiLevelType w:val="hybridMultilevel"/>
    <w:lvl w:ilvl="0">
      <w:lvlJc w:val="left"/>
      <w:lvlText w:val="(%1)"/>
      <w:numFmt w:val="upperLetter"/>
      <w:start w:val="1"/>
    </w:lvl>
  </w:abstractNum>
  <w:abstractNum w:abstractNumId="6">
    <w:nsid w:val="8EDBDAB"/>
    <w:multiLevelType w:val="hybridMultilevel"/>
    <w:lvl w:ilvl="0">
      <w:lvlJc w:val="left"/>
      <w:lvlText w:val="(%1)"/>
      <w:numFmt w:val="lowerLetter"/>
      <w:start w:val="4"/>
    </w:lvl>
  </w:abstractNum>
  <w:abstractNum w:abstractNumId="7">
    <w:nsid w:val="79838CB2"/>
    <w:multiLevelType w:val="hybridMultilevel"/>
    <w:lvl w:ilvl="0">
      <w:lvlJc w:val="left"/>
      <w:lvlText w:val="%1"/>
      <w:numFmt w:val="lowerLetter"/>
      <w:start w:val="1"/>
    </w:lvl>
    <w:lvl w:ilvl="1">
      <w:lvlJc w:val="left"/>
      <w:lvlText w:val="(%2)"/>
      <w:numFmt w:val="lowerLetter"/>
      <w:start w:val="7"/>
    </w:lvl>
  </w:abstractNum>
  <w:abstractNum w:abstractNumId="8">
    <w:nsid w:val="4353D0CD"/>
    <w:multiLevelType w:val="hybridMultilevel"/>
    <w:lvl w:ilvl="0">
      <w:lvlJc w:val="left"/>
      <w:lvlText w:val="(%1)"/>
      <w:numFmt w:val="lowerLetter"/>
      <w:start w:val="9"/>
    </w:lvl>
    <w:lvl w:ilvl="1">
      <w:lvlJc w:val="left"/>
      <w:lvlText w:val="%2"/>
      <w:numFmt w:val="lowerLetter"/>
      <w:start w:val="1"/>
    </w:lvl>
  </w:abstractNum>
  <w:abstractNum w:abstractNumId="9">
    <w:nsid w:val="B03E0C6"/>
    <w:multiLevelType w:val="hybridMultilevel"/>
    <w:lvl w:ilvl="0">
      <w:lvlJc w:val="left"/>
      <w:lvlText w:val="(%1)"/>
      <w:numFmt w:val="lowerLetter"/>
      <w:start w:val="8"/>
    </w:lvl>
  </w:abstractNum>
  <w:abstractNum w:abstractNumId="10">
    <w:nsid w:val="189A769B"/>
    <w:multiLevelType w:val="hybridMultilevel"/>
    <w:lvl w:ilvl="0">
      <w:lvlJc w:val="left"/>
      <w:lvlText w:val="(%1)"/>
      <w:numFmt w:val="lowerLetter"/>
      <w:start w:val="12"/>
    </w:lvl>
  </w:abstractNum>
  <w:abstractNum w:abstractNumId="11">
    <w:nsid w:val="54E49EB4"/>
    <w:multiLevelType w:val="hybridMultilevel"/>
    <w:lvl w:ilvl="0">
      <w:lvlJc w:val="left"/>
      <w:lvlText w:val="(%1)"/>
      <w:numFmt w:val="lowerLetter"/>
      <w:start w:val="15"/>
    </w:lvl>
  </w:abstractNum>
  <w:abstractNum w:abstractNumId="12">
    <w:nsid w:val="71F32454"/>
    <w:multiLevelType w:val="hybridMultilevel"/>
    <w:lvl w:ilvl="0">
      <w:lvlJc w:val="left"/>
      <w:lvlText w:val="(%1)"/>
      <w:numFmt w:val="lowerLetter"/>
      <w:start w:val="35"/>
    </w:lvl>
    <w:lvl w:ilvl="1">
      <w:lvlJc w:val="left"/>
      <w:lvlText w:val="(%2)"/>
      <w:numFmt w:val="lowerLetter"/>
      <w:start w:val="20"/>
    </w:lvl>
  </w:abstractNum>
  <w:abstractNum w:abstractNumId="13">
    <w:nsid w:val="2CA88611"/>
    <w:multiLevelType w:val="hybridMultilevel"/>
    <w:lvl w:ilvl="0">
      <w:lvlJc w:val="left"/>
      <w:lvlText w:val="(%1)"/>
      <w:numFmt w:val="lowerLetter"/>
      <w:start w:val="23"/>
    </w:lvl>
  </w:abstractNum>
  <w:abstractNum w:abstractNumId="14">
    <w:nsid w:val="836C40E"/>
    <w:multiLevelType w:val="hybridMultilevel"/>
    <w:lvl w:ilvl="0">
      <w:lvlJc w:val="left"/>
      <w:lvlText w:val="%1"/>
      <w:numFmt w:val="decimal"/>
      <w:start w:val="1"/>
    </w:lvl>
    <w:lvl w:ilvl="1">
      <w:lvlJc w:val="left"/>
      <w:lvlText w:val="(%2)"/>
      <w:numFmt w:val="lowerLetter"/>
      <w:start w:val="26"/>
    </w:lvl>
  </w:abstractNum>
  <w:abstractNum w:abstractNumId="15">
    <w:nsid w:val="2901D82"/>
    <w:multiLevelType w:val="hybridMultilevel"/>
    <w:lvl w:ilvl="0">
      <w:lvlJc w:val="left"/>
      <w:lvlText w:val="%1."/>
      <w:numFmt w:val="decimal"/>
      <w:start w:val="3"/>
    </w:lvl>
    <w:lvl w:ilvl="1">
      <w:lvlJc w:val="left"/>
      <w:lvlText w:val="(%2)"/>
      <w:numFmt w:val="lowerLetter"/>
      <w:start w:val="1"/>
    </w:lvl>
  </w:abstractNum>
  <w:abstractNum w:abstractNumId="16">
    <w:nsid w:val="3A95F874"/>
    <w:multiLevelType w:val="hybridMultilevel"/>
    <w:lvl w:ilvl="0">
      <w:lvlJc w:val="left"/>
      <w:lvlText w:val="(%1)"/>
      <w:numFmt w:val="lowerLetter"/>
      <w:start w:val="2"/>
    </w:lvl>
  </w:abstractNum>
  <w:abstractNum w:abstractNumId="17">
    <w:nsid w:val="8138641"/>
    <w:multiLevelType w:val="hybridMultilevel"/>
    <w:lvl w:ilvl="0">
      <w:lvlJc w:val="left"/>
      <w:lvlText w:val="(%1)"/>
      <w:numFmt w:val="lowerLetter"/>
      <w:start w:val="3"/>
    </w:lvl>
  </w:abstractNum>
  <w:abstractNum w:abstractNumId="18">
    <w:nsid w:val="1E7FF521"/>
    <w:multiLevelType w:val="hybridMultilevel"/>
    <w:lvl w:ilvl="0">
      <w:lvlJc w:val="left"/>
      <w:lvlText w:val="(%1)"/>
      <w:numFmt w:val="lowerLetter"/>
      <w:start w:val="7"/>
    </w:lvl>
  </w:abstractNum>
  <w:abstractNum w:abstractNumId="19">
    <w:nsid w:val="7C3DBD3D"/>
    <w:multiLevelType w:val="hybridMultilevel"/>
    <w:lvl w:ilvl="0">
      <w:lvlJc w:val="left"/>
      <w:lvlText w:val="%1"/>
      <w:numFmt w:val="lowerLetter"/>
      <w:start w:val="1"/>
    </w:lvl>
    <w:lvl w:ilvl="1">
      <w:lvlJc w:val="left"/>
      <w:lvlText w:val="(%2)"/>
      <w:numFmt w:val="lowerLetter"/>
      <w:start w:val="8"/>
    </w:lvl>
  </w:abstractNum>
  <w:abstractNum w:abstractNumId="20">
    <w:nsid w:val="737B8DDC"/>
    <w:multiLevelType w:val="hybridMultilevel"/>
    <w:lvl w:ilvl="0">
      <w:lvlJc w:val="left"/>
      <w:lvlText w:val="(%1)"/>
      <w:numFmt w:val="lowerLetter"/>
      <w:start w:val="35"/>
    </w:lvl>
    <w:lvl w:ilvl="1">
      <w:lvlJc w:val="left"/>
      <w:lvlText w:val="(%2)"/>
      <w:numFmt w:val="lowerLetter"/>
      <w:start w:val="10"/>
    </w:lvl>
  </w:abstractNum>
  <w:abstractNum w:abstractNumId="21">
    <w:nsid w:val="6CEAF087"/>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2">
    <w:nsid w:val="22221A70"/>
    <w:multiLevelType w:val="hybridMultilevel"/>
    <w:lvl w:ilvl="0">
      <w:lvlJc w:val="left"/>
      <w:lvlText w:val="(%1)"/>
      <w:numFmt w:val="lowerRoman"/>
      <w:start w:val="4"/>
    </w:lvl>
    <w:lvl w:ilvl="1">
      <w:lvlJc w:val="left"/>
      <w:lvlText w:val="%2."/>
      <w:numFmt w:val="decimal"/>
      <w:start w:val="7"/>
    </w:lvl>
    <w:lvl w:ilvl="2">
      <w:lvlJc w:val="left"/>
      <w:lvlText w:val="(%3)"/>
      <w:numFmt w:val="lowerLetter"/>
      <w:start w:val="1"/>
    </w:lvl>
  </w:abstractNum>
  <w:abstractNum w:abstractNumId="23">
    <w:nsid w:val="4516DDE9"/>
    <w:multiLevelType w:val="hybridMultilevel"/>
    <w:lvl w:ilvl="0">
      <w:lvlJc w:val="left"/>
      <w:lvlText w:val="(%1)"/>
      <w:numFmt w:val="lowerLetter"/>
      <w:start w:val="2"/>
    </w:lvl>
  </w:abstractNum>
  <w:abstractNum w:abstractNumId="24">
    <w:nsid w:val="3006C83E"/>
    <w:multiLevelType w:val="hybridMultilevel"/>
    <w:lvl w:ilvl="0">
      <w:lvlJc w:val="left"/>
      <w:lvlText w:val="(%1)"/>
      <w:numFmt w:val="lowerLetter"/>
      <w:start w:val="6"/>
    </w:lvl>
  </w:abstractNum>
  <w:abstractNum w:abstractNumId="25">
    <w:nsid w:val="614FD4A1"/>
    <w:multiLevelType w:val="hybridMultilevel"/>
    <w:lvl w:ilvl="0">
      <w:lvlJc w:val="left"/>
      <w:lvlText w:val="%1"/>
      <w:numFmt w:val="decimal"/>
      <w:start w:val="1"/>
    </w:lvl>
    <w:lvl w:ilvl="1">
      <w:lvlJc w:val="left"/>
      <w:lvlText w:val="(%2)"/>
      <w:numFmt w:val="lowerLetter"/>
      <w:start w:val="8"/>
    </w:lvl>
  </w:abstractNum>
  <w:abstractNum w:abstractNumId="26">
    <w:nsid w:val="419AC241"/>
    <w:multiLevelType w:val="hybridMultilevel"/>
    <w:lvl w:ilvl="0">
      <w:lvlJc w:val="left"/>
      <w:lvlText w:val="%1."/>
      <w:numFmt w:val="decimal"/>
      <w:start w:val="8"/>
    </w:lvl>
    <w:lvl w:ilvl="1">
      <w:lvlJc w:val="left"/>
      <w:lvlText w:val="%2"/>
      <w:numFmt w:val="lowerLetter"/>
      <w:start w:val="1"/>
    </w:lvl>
  </w:abstractNum>
  <w:abstractNum w:abstractNumId="27">
    <w:nsid w:val="5577F8E1"/>
    <w:multiLevelType w:val="hybridMultilevel"/>
    <w:lvl w:ilvl="0">
      <w:lvlJc w:val="left"/>
      <w:lvlText w:val="(%1)"/>
      <w:numFmt w:val="lowerLetter"/>
      <w:start w:val="2"/>
    </w:lvl>
  </w:abstractNum>
  <w:abstractNum w:abstractNumId="28">
    <w:nsid w:val="440BADFC"/>
    <w:multiLevelType w:val="hybridMultilevel"/>
    <w:lvl w:ilvl="0">
      <w:lvlJc w:val="left"/>
      <w:lvlText w:val="%1"/>
      <w:numFmt w:val="lowerLetter"/>
      <w:start w:val="1"/>
    </w:lvl>
    <w:lvl w:ilvl="1">
      <w:lvlJc w:val="left"/>
      <w:lvlText w:val="(%2)"/>
      <w:numFmt w:val="lowerLetter"/>
      <w:start w:val="4"/>
    </w:lvl>
  </w:abstractNum>
  <w:abstractNum w:abstractNumId="29">
    <w:nsid w:val="5072367"/>
    <w:multiLevelType w:val="hybridMultilevel"/>
    <w:lvl w:ilvl="0">
      <w:lvlJc w:val="left"/>
      <w:lvlText w:val="(%1)"/>
      <w:numFmt w:val="lowerLetter"/>
      <w:start w:val="2"/>
    </w:lvl>
    <w:lvl w:ilvl="1">
      <w:lvlJc w:val="left"/>
      <w:lvlText w:val="%2"/>
      <w:numFmt w:val="lowerLetter"/>
      <w:start w:val="1"/>
    </w:lvl>
  </w:abstractNum>
  <w:abstractNum w:abstractNumId="30">
    <w:nsid w:val="3804823E"/>
    <w:multiLevelType w:val="hybridMultilevel"/>
    <w:lvl w:ilvl="0">
      <w:lvlJc w:val="left"/>
      <w:lvlText w:val="(%1)"/>
      <w:numFmt w:val="lowerLetter"/>
      <w:start w:val="5"/>
    </w:lvl>
  </w:abstractNum>
  <w:abstractNum w:abstractNumId="31">
    <w:nsid w:val="77465F01"/>
    <w:multiLevelType w:val="hybridMultilevel"/>
    <w:lvl w:ilvl="0">
      <w:lvlJc w:val="left"/>
      <w:lvlText w:val="%1."/>
      <w:numFmt w:val="decimal"/>
      <w:start w:val="9"/>
    </w:lvl>
  </w:abstractNum>
  <w:abstractNum w:abstractNumId="32">
    <w:nsid w:val="7724C67E"/>
    <w:multiLevelType w:val="hybridMultilevel"/>
    <w:lvl w:ilvl="0">
      <w:lvlJc w:val="left"/>
      <w:lvlText w:val="%1"/>
      <w:numFmt w:val="lowerLetter"/>
      <w:start w:val="1"/>
    </w:lvl>
    <w:lvl w:ilvl="1">
      <w:lvlJc w:val="left"/>
      <w:lvlText w:val="(%2)"/>
      <w:numFmt w:val="lowerLetter"/>
      <w:start w:val="2"/>
    </w:lvl>
  </w:abstractNum>
  <w:abstractNum w:abstractNumId="33">
    <w:nsid w:val="5C482A97"/>
    <w:multiLevelType w:val="hybridMultilevel"/>
    <w:lvl w:ilvl="0">
      <w:lvlJc w:val="left"/>
      <w:lvlText w:val="(%1)"/>
      <w:numFmt w:val="lowerLetter"/>
      <w:start w:val="2"/>
    </w:lvl>
    <w:lvl w:ilvl="1">
      <w:lvlJc w:val="left"/>
      <w:lvlText w:val="%2"/>
      <w:numFmt w:val="lowerLetter"/>
      <w:start w:val="1"/>
    </w:lvl>
  </w:abstractNum>
  <w:abstractNum w:abstractNumId="34">
    <w:nsid w:val="2463B9EA"/>
    <w:multiLevelType w:val="hybridMultilevel"/>
    <w:lvl w:ilvl="0">
      <w:lvlJc w:val="left"/>
      <w:lvlText w:val="%1."/>
      <w:numFmt w:val="decimal"/>
      <w:start w:val="10"/>
    </w:lvl>
  </w:abstractNum>
  <w:abstractNum w:abstractNumId="35">
    <w:nsid w:val="5E884ADC"/>
    <w:multiLevelType w:val="hybridMultilevel"/>
    <w:lvl w:ilvl="0">
      <w:lvlJc w:val="left"/>
      <w:lvlText w:val="%1."/>
      <w:numFmt w:val="decimal"/>
      <w:start w:val="12"/>
    </w:lvl>
  </w:abstractNum>
  <w:abstractNum w:abstractNumId="36">
    <w:nsid w:val="51EAD36B"/>
    <w:multiLevelType w:val="hybridMultilevel"/>
    <w:lvl w:ilvl="0">
      <w:lvlJc w:val="left"/>
      <w:lvlText w:val="%1."/>
      <w:numFmt w:val="decimal"/>
      <w:start w:val="13"/>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4"/>
    </w:lvl>
    <w:lvl w:ilvl="1">
      <w:lvlJc w:val="left"/>
      <w:lvlText w:val="(%2)"/>
      <w:numFmt w:val="low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2019-12-05T09:54:09Z</dcterms:created>
  <dcterms:modified xsi:type="dcterms:W3CDTF">2019-12-05T09:54:09Z</dcterms:modified>
</cp:coreProperties>
</file>