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180" w:after="283"/>
        <w:jc w:val="center"/>
        <w:rPr>
          <w:rFonts w:ascii="Times New Roman;sans-serif" w:hAnsi="Times New Roman;sans-serif"/>
          <w:b/>
          <w:color w:val="000000"/>
          <w:sz w:val="26"/>
        </w:rPr>
      </w:pPr>
      <w:r>
        <w:rPr>
          <w:rFonts w:ascii="Times New Roman;sans-serif" w:hAnsi="Times New Roman;sans-serif"/>
          <w:b/>
          <w:color w:val="000000"/>
          <w:sz w:val="26"/>
        </w:rPr>
        <w:t xml:space="preserve">CURRENT REPORT </w:t>
      </w:r>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80" w:after="283"/>
        <w:jc w:val="center"/>
        <w:rPr/>
      </w:pPr>
      <w:r>
        <w:rPr>
          <w:rFonts w:ascii="Times New Roman;sans-serif" w:hAnsi="Times New Roman;sans-serif"/>
          <w:b/>
          <w:color w:val="000000"/>
          <w:sz w:val="22"/>
        </w:rPr>
        <w:t>Date of Report (Date of earliest event reported) November 2, 2023</w:t>
      </w:r>
      <w:r>
        <w:rPr>
          <w:color w:val="000000"/>
        </w:rPr>
        <w:t xml:space="preserve"> </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Federal Realty Investment Trust</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 xml:space="preserve">Federal Realty OP LP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301/998-8100 </w:t>
      </w:r>
    </w:p>
    <w:p>
      <w:pPr>
        <w:pStyle w:val="TextBody"/>
        <w:bidi w:val="0"/>
        <w:spacing w:lineRule="auto" w:line="288" w:before="9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46"/>
        <w:gridCol w:w="1738"/>
        <w:gridCol w:w="1733"/>
        <w:gridCol w:w="434"/>
        <w:gridCol w:w="434"/>
        <w:gridCol w:w="422"/>
        <w:gridCol w:w="993"/>
        <w:gridCol w:w="993"/>
        <w:gridCol w:w="1412"/>
      </w:tblGrid>
      <w:tr>
        <w:trPr/>
        <w:tc>
          <w:tcPr>
            <w:tcW w:w="204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of Beneficial Interest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par value per share, with associated Common Share Purchase Rights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Depositary Shares, each representing 1/1000 of a share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FRT-C</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of 5.00% Series C Cumulative Redeemable Preferred Stock, $.01 par value per share</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OP LP</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On November 2, 2023, Federal Realty Investment Trust issued supplemental data pertaining to its operations, as well as a press release, to report its financial results for the quarter ended September 30, 2023. The supplemental data and press release are furnished as Exhibit 99.1 hereto.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Item 9.01.</w:t>
      </w:r>
      <w:r>
        <w:rPr>
          <w:color w:val="000000"/>
        </w:rPr>
        <w:t xml:space="preserve">     </w:t>
      </w:r>
      <w:r>
        <w:rPr>
          <w:rFonts w:ascii="Times New Roman;sans-serif" w:hAnsi="Times New Roman;sans-serif"/>
          <w:b/>
          <w:color w:val="000000"/>
          <w:sz w:val="24"/>
        </w:rPr>
        <w:t>Financial Statements and Exhibits.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Exhibits</w:t>
      </w:r>
    </w:p>
    <w:p>
      <w:pPr>
        <w:pStyle w:val="TextBody"/>
        <w:bidi w:val="0"/>
        <w:spacing w:before="0" w:after="0"/>
        <w:jc w:val="left"/>
        <w:rPr/>
      </w:pPr>
      <w:r>
        <w:rPr/>
      </w:r>
    </w:p>
    <w:p>
      <w:pPr>
        <w:pStyle w:val="TextBody"/>
        <w:bidi w:val="0"/>
        <w:spacing w:lineRule="auto" w:line="288" w:before="0" w:after="0"/>
        <w:ind w:left="0" w:right="0" w:hanging="1440"/>
        <w:jc w:val="left"/>
        <w:rPr/>
      </w:pPr>
      <w:r>
        <w:rPr>
          <w:color w:val="000000"/>
        </w:rPr>
        <w:t>    </w:t>
      </w:r>
      <w:r>
        <w:rPr>
          <w:rFonts w:ascii="Times New Roman;sans-serif" w:hAnsi="Times New Roman;sans-serif"/>
          <w:b w:val="false"/>
          <w:color w:val="000000"/>
          <w:sz w:val="24"/>
        </w:rPr>
        <w:t>99.1</w:t>
      </w:r>
      <w:r>
        <w:rPr>
          <w:color w:val="000000"/>
        </w:rPr>
        <w:t>    </w:t>
      </w:r>
      <w:r>
        <w:rPr>
          <w:rFonts w:ascii="Times New Roman;sans-serif" w:hAnsi="Times New Roman;sans-serif"/>
          <w:b w:val="false"/>
          <w:color w:val="000000"/>
          <w:sz w:val="24"/>
        </w:rPr>
        <w:t>Supplemental information at September 30, 2023 (including press release dated November 2, 2023)</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870" w:type="dxa"/>
        <w:jc w:val="center"/>
        <w:tblInd w:w="0" w:type="dxa"/>
        <w:tblLayout w:type="fixed"/>
        <w:tblCellMar>
          <w:top w:w="28" w:type="dxa"/>
          <w:left w:w="28" w:type="dxa"/>
          <w:bottom w:w="28" w:type="dxa"/>
          <w:right w:w="28" w:type="dxa"/>
        </w:tblCellMar>
      </w:tblPr>
      <w:tblGrid>
        <w:gridCol w:w="228"/>
        <w:gridCol w:w="200"/>
        <w:gridCol w:w="202"/>
        <w:gridCol w:w="629"/>
        <w:gridCol w:w="629"/>
        <w:gridCol w:w="631"/>
        <w:gridCol w:w="109"/>
        <w:gridCol w:w="109"/>
        <w:gridCol w:w="109"/>
        <w:gridCol w:w="1470"/>
        <w:gridCol w:w="1470"/>
        <w:gridCol w:w="208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INVESTMENT TRUST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OP LP</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November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4"/>
                <w:u w:val="single"/>
              </w:rPr>
              <w:t>/s/ 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01"/>
        <w:gridCol w:w="440"/>
        <w:gridCol w:w="442"/>
        <w:gridCol w:w="109"/>
        <w:gridCol w:w="109"/>
        <w:gridCol w:w="109"/>
        <w:gridCol w:w="2478"/>
        <w:gridCol w:w="2478"/>
        <w:gridCol w:w="3539"/>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39"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rt-9302023xex991.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at September 30, 2023</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Interactive Data File is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629" w:type="dxa"/>
        <w:jc w:val="center"/>
        <w:tblInd w:w="0" w:type="dxa"/>
        <w:tblLayout w:type="fixed"/>
        <w:tblCellMar>
          <w:top w:w="28" w:type="dxa"/>
          <w:left w:w="28" w:type="dxa"/>
          <w:bottom w:w="28" w:type="dxa"/>
          <w:right w:w="28" w:type="dxa"/>
        </w:tblCellMar>
      </w:tblPr>
      <w:tblGrid>
        <w:gridCol w:w="360"/>
        <w:gridCol w:w="317"/>
        <w:gridCol w:w="317"/>
        <w:gridCol w:w="592"/>
        <w:gridCol w:w="592"/>
        <w:gridCol w:w="592"/>
        <w:gridCol w:w="1590"/>
        <w:gridCol w:w="1590"/>
        <w:gridCol w:w="1590"/>
        <w:gridCol w:w="317"/>
        <w:gridCol w:w="317"/>
        <w:gridCol w:w="455"/>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86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7635" w:type="dxa"/>
            <w:gridSpan w:val="9"/>
            <w:tcBorders/>
          </w:tcPr>
          <w:p>
            <w:pPr>
              <w:pStyle w:val="TableContents"/>
              <w:bidi w:val="0"/>
              <w:spacing w:before="0" w:after="283"/>
              <w:jc w:val="left"/>
              <w:rPr>
                <w:sz w:val="4"/>
                <w:szCs w:val="4"/>
              </w:rPr>
            </w:pPr>
            <w:r>
              <w:rPr>
                <w:sz w:val="4"/>
                <w:szCs w:val="4"/>
              </w:rPr>
            </w:r>
          </w:p>
        </w:tc>
      </w:tr>
      <w:tr>
        <w:trPr/>
        <w:tc>
          <w:tcPr>
            <w:tcW w:w="86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r>
      <w:tr>
        <w:trPr/>
        <w:tc>
          <w:tcPr>
            <w:tcW w:w="86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 2023 Earnings Press Release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7">
              <w:r>
                <w:rPr>
                  <w:rStyle w:val="InternetLink"/>
                  <w:rFonts w:ascii="Times New Roman;sans-serif" w:hAnsi="Times New Roman;sans-serif"/>
                  <w:b w:val="false"/>
                  <w:color w:val="0000FF"/>
                  <w:sz w:val="20"/>
                  <w:u w:val="single"/>
                </w:rPr>
                <w:t>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Highlights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Statements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10">
              <w:r>
                <w:rPr>
                  <w:rStyle w:val="InternetLink"/>
                  <w:rFonts w:ascii="Times New Roman;sans-serif" w:hAnsi="Times New Roman;sans-serif"/>
                  <w:b w:val="false"/>
                  <w:color w:val="0000FF"/>
                  <w:sz w:val="20"/>
                  <w:u w:val="single"/>
                </w:rPr>
                <w:t>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13">
              <w:r>
                <w:rPr>
                  <w:rStyle w:val="InternetLink"/>
                  <w:rFonts w:ascii="Times New Roman;sans-serif" w:hAnsi="Times New Roman;sans-serif"/>
                  <w:b w:val="false"/>
                  <w:color w:val="0000FF"/>
                  <w:sz w:val="20"/>
                  <w:u w:val="single"/>
                </w:rPr>
                <w:t>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 Other Supplemental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16">
              <w:r>
                <w:rPr>
                  <w:rStyle w:val="InternetLink"/>
                  <w:rFonts w:ascii="Times New Roman;sans-serif" w:hAnsi="Times New Roman;sans-serif"/>
                  <w:b w:val="false"/>
                  <w:color w:val="0000FF"/>
                  <w:sz w:val="20"/>
                  <w:u w:val="single"/>
                </w:rPr>
                <w:t>9</w:t>
              </w:r>
            </w:hyperlink>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Rental Income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19">
              <w:r>
                <w:rPr>
                  <w:rStyle w:val="InternetLink"/>
                  <w:rFonts w:ascii="Times New Roman;sans-serif" w:hAnsi="Times New Roman;sans-serif"/>
                  <w:b w:val="false"/>
                  <w:color w:val="0000FF"/>
                  <w:sz w:val="20"/>
                  <w:u w:val="single"/>
                </w:rPr>
                <w:t>10</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Property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22">
              <w:r>
                <w:rPr>
                  <w:rStyle w:val="InternetLink"/>
                  <w:rFonts w:ascii="Times New Roman;sans-serif" w:hAnsi="Times New Roman;sans-serif"/>
                  <w:b w:val="false"/>
                  <w:color w:val="0000FF"/>
                  <w:sz w:val="20"/>
                  <w:u w:val="single"/>
                </w:rPr>
                <w:t>11</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 and Leverage and Liquidity Ratios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25">
              <w:r>
                <w:rPr>
                  <w:rStyle w:val="InternetLink"/>
                  <w:rFonts w:ascii="Times New Roman;sans-serif" w:hAnsi="Times New Roman;sans-serif"/>
                  <w:b w:val="false"/>
                  <w:color w:val="0000FF"/>
                  <w:sz w:val="20"/>
                  <w:u w:val="single"/>
                </w:rPr>
                <w:t>12</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Outstanding Debt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28">
              <w:r>
                <w:rPr>
                  <w:rStyle w:val="InternetLink"/>
                  <w:rFonts w:ascii="Times New Roman;sans-serif" w:hAnsi="Times New Roman;sans-serif"/>
                  <w:b w:val="false"/>
                  <w:color w:val="0000FF"/>
                  <w:sz w:val="20"/>
                  <w:u w:val="single"/>
                </w:rPr>
                <w:t>13</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 Maturities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31">
              <w:r>
                <w:rPr>
                  <w:rStyle w:val="InternetLink"/>
                  <w:rFonts w:ascii="Times New Roman;sans-serif" w:hAnsi="Times New Roman;sans-serif"/>
                  <w:b w:val="false"/>
                  <w:color w:val="0000FF"/>
                  <w:sz w:val="20"/>
                  <w:u w:val="single"/>
                </w:rPr>
                <w:t>14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34">
              <w:r>
                <w:rPr>
                  <w:rStyle w:val="InternetLink"/>
                  <w:rFonts w:ascii="Times New Roman;sans-serif" w:hAnsi="Times New Roman;sans-serif"/>
                  <w:b w:val="false"/>
                  <w:color w:val="0000FF"/>
                  <w:sz w:val="20"/>
                  <w:u w:val="single"/>
                </w:rPr>
                <w:t>15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40">
              <w:r>
                <w:rPr>
                  <w:rStyle w:val="InternetLink"/>
                  <w:rFonts w:ascii="Times New Roman;sans-serif" w:hAnsi="Times New Roman;sans-serif"/>
                  <w:b w:val="false"/>
                  <w:color w:val="0000FF"/>
                  <w:sz w:val="20"/>
                  <w:u w:val="single"/>
                </w:rPr>
                <w:t>16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Dispositions, &amp; Other Transactions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43">
              <w:r>
                <w:rPr>
                  <w:rStyle w:val="InternetLink"/>
                  <w:rFonts w:ascii="Times New Roman;sans-serif" w:hAnsi="Times New Roman;sans-serif"/>
                  <w:b w:val="false"/>
                  <w:color w:val="0000FF"/>
                  <w:sz w:val="20"/>
                  <w:u w:val="single"/>
                </w:rPr>
                <w:t>17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Status Report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46">
              <w:r>
                <w:rPr>
                  <w:rStyle w:val="InternetLink"/>
                  <w:rFonts w:ascii="Times New Roman;sans-serif" w:hAnsi="Times New Roman;sans-serif"/>
                  <w:b w:val="false"/>
                  <w:color w:val="0000FF"/>
                  <w:sz w:val="20"/>
                  <w:u w:val="single"/>
                </w:rPr>
                <w:t>18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Leasing Summary</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49">
              <w:r>
                <w:rPr>
                  <w:rStyle w:val="InternetLink"/>
                  <w:rFonts w:ascii="Times New Roman;sans-serif" w:hAnsi="Times New Roman;sans-serif"/>
                  <w:b w:val="false"/>
                  <w:color w:val="0000FF"/>
                  <w:sz w:val="20"/>
                  <w:u w:val="single"/>
                </w:rPr>
                <w:t>23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Expirations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52">
              <w:r>
                <w:rPr>
                  <w:rStyle w:val="InternetLink"/>
                  <w:rFonts w:ascii="Times New Roman;sans-serif" w:hAnsi="Times New Roman;sans-serif"/>
                  <w:b w:val="false"/>
                  <w:color w:val="0000FF"/>
                  <w:sz w:val="20"/>
                  <w:u w:val="single"/>
                </w:rPr>
                <w:t>24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Leased Statistics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55">
              <w:r>
                <w:rPr>
                  <w:rStyle w:val="InternetLink"/>
                  <w:rFonts w:ascii="Times New Roman;sans-serif" w:hAnsi="Times New Roman;sans-serif"/>
                  <w:b w:val="false"/>
                  <w:color w:val="0000FF"/>
                  <w:sz w:val="20"/>
                  <w:u w:val="single"/>
                </w:rPr>
                <w:t>25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Top 25 Tenants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58">
              <w:r>
                <w:rPr>
                  <w:rStyle w:val="InternetLink"/>
                  <w:rFonts w:ascii="Times New Roman;sans-serif" w:hAnsi="Times New Roman;sans-serif"/>
                  <w:b w:val="false"/>
                  <w:color w:val="0000FF"/>
                  <w:sz w:val="20"/>
                  <w:u w:val="single"/>
                </w:rPr>
                <w:t>26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FFO Guidance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61">
              <w:r>
                <w:rPr>
                  <w:rStyle w:val="InternetLink"/>
                  <w:rFonts w:ascii="Times New Roman;sans-serif" w:hAnsi="Times New Roman;sans-serif"/>
                  <w:b w:val="false"/>
                  <w:color w:val="0000FF"/>
                  <w:sz w:val="20"/>
                  <w:u w:val="single"/>
                </w:rPr>
                <w:t>27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Glossary of Terms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577aa2835894a409a4c42794f88ed72_64">
              <w:r>
                <w:rPr>
                  <w:rStyle w:val="InternetLink"/>
                  <w:rFonts w:ascii="Times New Roman;sans-serif" w:hAnsi="Times New Roman;sans-serif"/>
                  <w:b w:val="false"/>
                  <w:color w:val="0000FF"/>
                  <w:sz w:val="20"/>
                  <w:u w:val="single"/>
                </w:rPr>
                <w:t>28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909 Rose Avenue, Suite 200</w:t>
            </w:r>
          </w:p>
        </w:tc>
      </w:tr>
      <w:tr>
        <w:trPr/>
        <w:tc>
          <w:tcPr>
            <w:tcW w:w="862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Bethesda, Maryland 20852</w:t>
            </w:r>
          </w:p>
        </w:tc>
      </w:tr>
      <w:tr>
        <w:trPr/>
        <w:tc>
          <w:tcPr>
            <w:tcW w:w="862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301-998-8100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Safe Harbor Language</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8, 2023,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associated with general economic conditions, including inflation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8, 2023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drawing>
          <wp:inline distT="0" distB="0" distL="0" distR="0">
            <wp:extent cx="2724150" cy="10668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24150" cy="1066800"/>
                    </a:xfrm>
                    <a:prstGeom prst="rect">
                      <a:avLst/>
                    </a:prstGeom>
                  </pic:spPr>
                </pic:pic>
              </a:graphicData>
            </a:graphic>
          </wp:inline>
        </w:drawing>
      </w:r>
    </w:p>
    <w:tbl>
      <w:tblPr>
        <w:tblW w:w="7003" w:type="dxa"/>
        <w:jc w:val="left"/>
        <w:tblInd w:w="0" w:type="dxa"/>
        <w:tblLayout w:type="fixed"/>
        <w:tblCellMar>
          <w:top w:w="28" w:type="dxa"/>
          <w:left w:w="28" w:type="dxa"/>
          <w:bottom w:w="28" w:type="dxa"/>
          <w:right w:w="28" w:type="dxa"/>
        </w:tblCellMar>
      </w:tblPr>
      <w:tblGrid>
        <w:gridCol w:w="1120"/>
        <w:gridCol w:w="981"/>
        <w:gridCol w:w="988"/>
        <w:gridCol w:w="1145"/>
        <w:gridCol w:w="1145"/>
        <w:gridCol w:w="162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NEWS RELEASE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www.federalrealty.com</w:t>
            </w:r>
          </w:p>
        </w:tc>
      </w:tr>
      <w:tr>
        <w:trPr/>
        <w:tc>
          <w:tcPr>
            <w:tcW w:w="30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FOR IMMEDIATE RELEASE</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Investor Inquiries: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Media Inquiries: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Leah Andress Brady</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Brenda Pomar</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Investor Relations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Senior Director, Corporate Communications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301.998.8265</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301.998.8316</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lbrady@federalrealty.com</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bpomar@federalrealty.com</w:t>
            </w:r>
          </w:p>
        </w:tc>
      </w:tr>
    </w:tbl>
    <w:p>
      <w:pPr>
        <w:pStyle w:val="TextBody"/>
        <w:bidi w:val="0"/>
        <w:spacing w:before="0" w:after="0"/>
        <w:jc w:val="center"/>
        <w:rPr/>
      </w:pPr>
      <w:r>
        <w:rPr/>
      </w:r>
    </w:p>
    <w:p>
      <w:pPr>
        <w:pStyle w:val="TextBody"/>
        <w:bidi w:val="0"/>
        <w:spacing w:lineRule="auto" w:line="417" w:before="0" w:after="160"/>
        <w:jc w:val="center"/>
        <w:rPr>
          <w:rFonts w:ascii="Arial;sans-serif" w:hAnsi="Arial;sans-serif"/>
          <w:b/>
          <w:color w:val="000000"/>
          <w:sz w:val="20"/>
        </w:rPr>
      </w:pPr>
      <w:r>
        <w:rPr>
          <w:rFonts w:ascii="Arial;sans-serif" w:hAnsi="Arial;sans-serif"/>
          <w:b/>
          <w:color w:val="000000"/>
          <w:sz w:val="20"/>
        </w:rPr>
        <w:t>Federal Realty Investment Trust Announces Third Quarter 2023 Operating Results</w:t>
      </w:r>
    </w:p>
    <w:p>
      <w:pPr>
        <w:pStyle w:val="TextBody"/>
        <w:bidi w:val="0"/>
        <w:spacing w:lineRule="auto" w:line="417" w:before="0" w:after="160"/>
        <w:jc w:val="left"/>
        <w:rPr/>
      </w:pPr>
      <w:r>
        <w:rPr>
          <w:rFonts w:ascii="Arial;sans-serif" w:hAnsi="Arial;sans-serif"/>
          <w:b w:val="false"/>
          <w:color w:val="000000"/>
          <w:sz w:val="20"/>
        </w:rPr>
        <w:t xml:space="preserve">NORTH BETHESDA, Md. (November 2, 2023) - </w:t>
      </w:r>
      <w:r>
        <w:rPr>
          <w:rFonts w:ascii="Arial;sans-serif" w:hAnsi="Arial;sans-serif"/>
          <w:b w:val="false"/>
          <w:color w:val="000000"/>
          <w:sz w:val="20"/>
          <w:u w:val="single"/>
        </w:rPr>
        <w:t>Federal Realty Investment Trust</w:t>
      </w:r>
      <w:r>
        <w:rPr>
          <w:color w:val="000000"/>
        </w:rPr>
        <w:t xml:space="preserve"> </w:t>
      </w:r>
      <w:r>
        <w:rPr>
          <w:rFonts w:ascii="Arial;sans-serif" w:hAnsi="Arial;sans-serif"/>
          <w:b w:val="false"/>
          <w:color w:val="000000"/>
          <w:sz w:val="20"/>
        </w:rPr>
        <w:t>(NYSE:FRT) today reported operating results for its third quarter ended September 30, 2023. For the three months ended September 30, 2023 and 2022, net income available for common shareholders was $0.67 per diluted share and $1.89 per diluted share, respectively. For the three months ended September 30, 2023 and 2022, operating income was $100.1 million and $191.7 million, respectively.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Highlights for the third quarter and subsequent to quarter-end include:</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Generated funds from operations available to common shareholders (FFO) per diluted share of $1.65 for the quarter.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Generated 3.8% comparable property operating income (POI) growth for the quarter.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Highest year-to-date comparable leasing volume on record with 1.6 million square feet of comparable space signed in the first nine months of 2023.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Continued robust levels of leasing with 100 signed leases for 552,765 square feet of comparable space in the quarter at a cash basis rollover of 11%.</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Federal Realty’s portfolio was 92.3% occupied and 94.0% leased. Both metrics reflect a negative impact of approximately 100 basis points resulting from the vacating of the final Bed Bath &amp; Beyond leases.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Continued strong small shop leasing, ending the quarter at 90.7% leased, an increase of 50 basis points quarter-over-quarter and 80 basis points year-over-year.</w:t>
      </w:r>
    </w:p>
    <w:p>
      <w:pPr>
        <w:pStyle w:val="TextBody"/>
        <w:bidi w:val="0"/>
        <w:spacing w:lineRule="auto" w:line="417" w:before="0" w:after="160"/>
        <w:ind w:left="0" w:right="0" w:hanging="360"/>
        <w:jc w:val="both"/>
        <w:rPr/>
      </w:pPr>
      <w:r>
        <w:rPr>
          <w:color w:val="000000"/>
        </w:rPr>
        <w:t>•</w:t>
      </w:r>
      <w:r>
        <w:rPr>
          <w:rFonts w:ascii="Arial;sans-serif" w:hAnsi="Arial;sans-serif"/>
          <w:b w:val="false"/>
          <w:color w:val="000000"/>
          <w:sz w:val="20"/>
        </w:rPr>
        <w:t>Tightened and raised 2023 earnings per diluted share guidance to $2.65 - $2.73 and 2023 FFO per diluted share guidance to $6.50 - $6.58.</w:t>
      </w:r>
    </w:p>
    <w:p>
      <w:pPr>
        <w:pStyle w:val="TextBody"/>
        <w:bidi w:val="0"/>
        <w:spacing w:lineRule="auto" w:line="417"/>
        <w:jc w:val="both"/>
        <w:rPr>
          <w:color w:val="000000"/>
        </w:rPr>
      </w:pPr>
      <w:r>
        <w:rPr>
          <w:color w:val="000000"/>
        </w:rPr>
        <w:t>“</w:t>
      </w:r>
      <w:r>
        <w:rPr>
          <w:rFonts w:ascii="Arial;sans-serif" w:hAnsi="Arial;sans-serif"/>
          <w:b w:val="false"/>
          <w:color w:val="000000"/>
          <w:sz w:val="20"/>
        </w:rPr>
        <w:t>In the first nine months of 2023, we achieved a Federal Realty record by leasing over 1.6 million square feet of comparable space,” said Donald C. Wood, Federal Realty’s Chief Executive Officer. “Our business's strength lies in superior demographics, fueling active leasing at our premium retail destinations. We remain focused on continuing to grow occupancy over the coming quarters.”</w:t>
      </w:r>
    </w:p>
    <w:p>
      <w:pPr>
        <w:pStyle w:val="TextBody"/>
        <w:bidi w:val="0"/>
        <w:spacing w:before="0" w:after="0"/>
        <w:jc w:val="right"/>
        <w:rPr/>
      </w:pPr>
      <w:r>
        <w:rPr/>
        <w:drawing>
          <wp:inline distT="0" distB="0" distL="0" distR="0">
            <wp:extent cx="89535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Financial Results</w:t>
      </w:r>
    </w:p>
    <w:p>
      <w:pPr>
        <w:pStyle w:val="TextBody"/>
        <w:bidi w:val="0"/>
        <w:spacing w:lineRule="auto" w:line="417" w:before="0" w:after="160"/>
        <w:jc w:val="left"/>
        <w:rPr/>
      </w:pPr>
      <w:r>
        <w:rPr>
          <w:rFonts w:ascii="Arial;sans-serif" w:hAnsi="Arial;sans-serif"/>
          <w:b w:val="false"/>
          <w:i/>
          <w:color w:val="000000"/>
          <w:sz w:val="20"/>
        </w:rPr>
        <w:t>Net Incom</w:t>
      </w:r>
      <w:r>
        <w:rPr>
          <w:rFonts w:ascii="Arial;sans-serif" w:hAnsi="Arial;sans-serif"/>
          <w:b w:val="false"/>
          <w:color w:val="000000"/>
          <w:sz w:val="20"/>
        </w:rPr>
        <w:t>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For the third quarter 2023, net income available for common shareholders was $55.0 million and earnings per diluted share was $0.67 versus $154.1 million and $1.89, respectively, for the third quarter 2022.</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FFO</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For the third quarter 2023, FFO was $135.3 million, or $1.65 per diluted share, compared to $129.3 million, or $1.59 per diluted share for the third quarter 2022.</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FFO is a non-GAAP supplemental earnings measure which the Trust considers meaningful in measuring its operating performance. A reconciliation of FFO to net income is attached to this press release.</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Operational Update</w:t>
      </w:r>
    </w:p>
    <w:p>
      <w:pPr>
        <w:pStyle w:val="TextBody"/>
        <w:bidi w:val="0"/>
        <w:spacing w:lineRule="auto" w:line="417" w:before="0" w:after="160"/>
        <w:jc w:val="left"/>
        <w:rPr>
          <w:rFonts w:ascii="Arial;sans-serif" w:hAnsi="Arial;sans-serif"/>
          <w:b w:val="false"/>
          <w:i/>
          <w:color w:val="000000"/>
          <w:sz w:val="20"/>
        </w:rPr>
      </w:pPr>
      <w:r>
        <w:rPr>
          <w:rFonts w:ascii="Arial;sans-serif" w:hAnsi="Arial;sans-serif"/>
          <w:b w:val="false"/>
          <w:i/>
          <w:color w:val="000000"/>
          <w:sz w:val="20"/>
        </w:rPr>
        <w:t>Occupancy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The portfolio was 92.3% occupied as of September 30, 2023, an increase of 20 basis points year-over-year. The portfolio was 94.0% leased as of September 30, 2023. Both the occupied and leased metrics reflect a negative impact of approximately 100 basis points resulting from the vacating of the final Bed Bath &amp; Beyond leases.</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Small shop leased rate was 90.7% as of September 30, 2023, an increase of 50 basis points quarter-over-quarter and 80 basis points year-over-year.</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 xml:space="preserve">Additionally, our residential properties were 97.8% leased as of September 30, 2023. </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Leasing Activity</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During the third quarter 2023, Federal Realty signed 105 leases for 565,496 square feet of retail space. On a comparable space basis (i.e., spaces for which there was a former tenant), Federal Realty signed 100 leases for 552,765 square feet at an average rent of $34.51 per square foot compared to the average contractual rent of $31.17 per square foot for the last year of the prior leases, representing a cash basis rollover growth on those comparable spaces of 11%, 21% on a straight-line basis.</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Regular Quarterly Dividends</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announced today that its Board of Trustees declared a regular quarterly cash dividend of $1.09 per common share, resulting in an indicated annual rate of $4.36 per common share. The regular common dividend will be payable on January 16, 2024 to common shareholders of record as of January 2, 2024.</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January 16, 2024 to shareholders of record as of January 2, 2024.</w:t>
      </w:r>
    </w:p>
    <w:p>
      <w:pPr>
        <w:pStyle w:val="TextBody"/>
        <w:bidi w:val="0"/>
        <w:spacing w:before="0" w:after="0"/>
        <w:jc w:val="right"/>
        <w:rPr/>
      </w:pPr>
      <w:r>
        <w:rPr/>
        <w:drawing>
          <wp:inline distT="0" distB="0" distL="0" distR="0">
            <wp:extent cx="895350"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Summary of Other Activities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August 28, 2023 – Federal Realty earned a place on The San Francisco Chronicle's 2023 Top Workplaces list for its commitment to employee well-being and satisfaction.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October 12, 2023 – Federal Realty acquired the fee interest under a portion of its Mercer on One (formerly known as Mercer Mall) property for $55.0 million pursuant to the purchase option included in the master lease.</w:t>
      </w:r>
    </w:p>
    <w:p>
      <w:pPr>
        <w:pStyle w:val="TextBody"/>
        <w:bidi w:val="0"/>
        <w:spacing w:lineRule="auto" w:line="417" w:before="0" w:after="160"/>
        <w:ind w:left="0" w:right="0" w:hanging="360"/>
        <w:jc w:val="both"/>
        <w:rPr/>
      </w:pPr>
      <w:r>
        <w:rPr>
          <w:color w:val="000000"/>
        </w:rPr>
        <w:t>•</w:t>
      </w:r>
      <w:r>
        <w:rPr>
          <w:rFonts w:ascii="Arial;sans-serif" w:hAnsi="Arial;sans-serif"/>
          <w:b w:val="false"/>
          <w:color w:val="000000"/>
          <w:sz w:val="20"/>
        </w:rPr>
        <w:t xml:space="preserve">October 27, 2023 – Federal Realty sold a building on Third Street Promenade in Santa Monica, California for $17.2 million. </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Guidance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tightened and raised its 2023 guidance for earnings per diluted share to $2.65 to $2.73 from $2.64 to $2.76 and its 2023 FFO per diluted share to $6.50 to $6.58 from $6.46 to $6.58.</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management team will present an in-depth discussion of Federal Realty’s operating performance on its third quarter 2023 earnings conference call, which is scheduled for Thursday, November 2, 2023 at 5:00 PM ET. To participate, please call 1-844-826-3035 five to ten minutes prior to the call start time and use the passcode 3535271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November 16, 2023 by dialing 1-844-512-2921; Passcode: 10182801.</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About Federal Realty</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102 properties include approximately 3,300 tenants, in 26 million square feet, and approximately 3,100 residential units.</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 has increased its quarterly dividends to its shareholders for 56 consecutive years, the longest record in the REIT industry. Federal Realty is an S&amp;P 500 index member and its shares are traded on the NYSE under the symbol FRT. For additional information about Federal Realty and its properties, visit www.federalrealty.com.</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Safe Harbor Language</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8, 2023, and include the following:</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Arial;sans-serif" w:hAnsi="Arial;sans-serif"/>
          <w:b w:val="false"/>
          <w:i/>
          <w:color w:val="000000"/>
          <w:sz w:val="16"/>
        </w:rPr>
        <w:t>risks that our tenants will not pay rent, may vacate early or may file for bankruptcy or that we may be unable to renew leases or re-let space at favorable rents as leases expire or to fill existing vacancy;</w:t>
      </w:r>
    </w:p>
    <w:p>
      <w:pPr>
        <w:pStyle w:val="TextBody"/>
        <w:bidi w:val="0"/>
        <w:spacing w:before="0" w:after="0"/>
        <w:jc w:val="right"/>
        <w:rPr/>
      </w:pPr>
      <w:r>
        <w:rPr/>
        <w:drawing>
          <wp:inline distT="0" distB="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associated with general economic conditions, including inflation and local economic conditions in our geographic markets;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160"/>
        <w:jc w:val="both"/>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8, 2023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42"/>
        <w:gridCol w:w="1421"/>
        <w:gridCol w:w="14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4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Statements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025"/>
        <w:gridCol w:w="2009"/>
        <w:gridCol w:w="1975"/>
        <w:gridCol w:w="227"/>
        <w:gridCol w:w="1052"/>
        <w:gridCol w:w="117"/>
        <w:gridCol w:w="117"/>
        <w:gridCol w:w="117"/>
        <w:gridCol w:w="117"/>
        <w:gridCol w:w="227"/>
        <w:gridCol w:w="1052"/>
        <w:gridCol w:w="170"/>
      </w:tblGrid>
      <w:tr>
        <w:trPr/>
        <w:tc>
          <w:tcPr>
            <w:tcW w:w="3025"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2,013,166 and $1,997,583 of consolidated variable interest entities, respectively)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9,848,565 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$11,030 and $8,477 of consolidated variable interest entities, respectively)</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10,468,529 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$402,929 and $362,921 of consolidated variable interest entities, respectively)</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7,566,650 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8,293,693 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$189,928 and $191,827 of consolidated variable interest entities, respectively)</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3,479,821 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5,156,105 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$.01 par:</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200,000,000 and 100,000,000 shares authorized, respectively, 81,618,162 and 81,342,959 shares issued and outstanding, respectively</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3,846,845 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3,821,801 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(1,034,186)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2,881,911 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2,961,049 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8,293,693 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68"/>
        <w:gridCol w:w="1110"/>
        <w:gridCol w:w="1118"/>
        <w:gridCol w:w="125"/>
        <w:gridCol w:w="125"/>
        <w:gridCol w:w="125"/>
        <w:gridCol w:w="242"/>
        <w:gridCol w:w="950"/>
        <w:gridCol w:w="311"/>
        <w:gridCol w:w="109"/>
        <w:gridCol w:w="109"/>
        <w:gridCol w:w="109"/>
        <w:gridCol w:w="211"/>
        <w:gridCol w:w="826"/>
        <w:gridCol w:w="271"/>
        <w:gridCol w:w="109"/>
        <w:gridCol w:w="109"/>
        <w:gridCol w:w="109"/>
        <w:gridCol w:w="211"/>
        <w:gridCol w:w="826"/>
        <w:gridCol w:w="109"/>
        <w:gridCol w:w="109"/>
        <w:gridCol w:w="109"/>
        <w:gridCol w:w="109"/>
        <w:gridCol w:w="211"/>
        <w:gridCol w:w="826"/>
        <w:gridCol w:w="159"/>
      </w:tblGrid>
      <w:tr>
        <w:trPr/>
        <w:tc>
          <w:tcPr>
            <w:tcW w:w="146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 / Other Supplemental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Funds from Operations available for common shareholders (FFO)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384,989 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380,122 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(2)(3)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82,004 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80,232 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 per diluted share (3)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Dividends and Payout Ratios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Regular common dividends declared</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payout ratio as a percentage of FFO</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Summary of Capital Expenditures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Non-maintenance capital expenditures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and expansions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improvements and incentives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non-maintenance capital expenditures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78,513 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Information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(non-cash)</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Noncontrolling Interests Supplemental Information (4)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(1)See Glossary of Terms.</w:t>
      </w:r>
    </w:p>
    <w:p>
      <w:pPr>
        <w:pStyle w:val="TextBody"/>
        <w:bidi w:val="0"/>
        <w:spacing w:lineRule="auto" w:line="288" w:before="60" w:after="283"/>
        <w:ind w:left="0" w:right="0" w:hanging="720"/>
        <w:jc w:val="left"/>
        <w:rPr/>
      </w:pPr>
      <w:r>
        <w:rPr>
          <w:rFonts w:ascii="Times New Roman;sans-serif" w:hAnsi="Times New Roman;sans-serif"/>
          <w:b w:val="false"/>
          <w:color w:val="000000"/>
          <w:sz w:val="19"/>
        </w:rPr>
        <w:t>(2)</w:t>
      </w:r>
      <w:r>
        <w:rPr>
          <w:rFonts w:ascii="Times New Roman;sans-serif" w:hAnsi="Times New Roman;sans-serif"/>
          <w:b w:val="false"/>
          <w:color w:val="000000"/>
          <w:sz w:val="18"/>
        </w:rPr>
        <w:t xml:space="preserve">For the three and nine months ended September 30, 2023 and 2022, dividends on our Series 1 preferred stock were not deducted in the calculation of FFO available to common shareholders, as the related shares were dilutive and are included in "weighted average number of common shares, diluted." </w:t>
      </w:r>
    </w:p>
    <w:p>
      <w:pPr>
        <w:pStyle w:val="TextBody"/>
        <w:bidi w:val="0"/>
        <w:spacing w:lineRule="auto" w:line="288" w:before="60" w:after="283"/>
        <w:ind w:left="0" w:right="0" w:hanging="720"/>
        <w:jc w:val="left"/>
        <w:rPr/>
      </w:pPr>
      <w:r>
        <w:rPr>
          <w:rFonts w:ascii="Times New Roman;sans-serif" w:hAnsi="Times New Roman;sans-serif"/>
          <w:b w:val="false"/>
          <w:color w:val="000000"/>
          <w:sz w:val="19"/>
        </w:rPr>
        <w:t>(3)</w:t>
      </w:r>
      <w:r>
        <w:rPr>
          <w:rFonts w:ascii="Times New Roman;sans-serif" w:hAnsi="Times New Roman;sans-serif"/>
          <w:b w:val="false"/>
          <w:color w:val="000000"/>
          <w:sz w:val="18"/>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dilutive EPS for the three and nine months ended September 30, 2023.</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(4)Amounts reflect the components of "net income attributable to noncontrolling interests," but excludes "income attributable to downREIT operating partnership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8535" w:type="dxa"/>
        <w:jc w:val="center"/>
        <w:tblInd w:w="0" w:type="dxa"/>
        <w:tblLayout w:type="fixed"/>
        <w:tblCellMar>
          <w:top w:w="28" w:type="dxa"/>
          <w:left w:w="28" w:type="dxa"/>
          <w:bottom w:w="28" w:type="dxa"/>
          <w:right w:w="28" w:type="dxa"/>
        </w:tblCellMar>
      </w:tblPr>
      <w:tblGrid>
        <w:gridCol w:w="540"/>
        <w:gridCol w:w="476"/>
        <w:gridCol w:w="476"/>
        <w:gridCol w:w="476"/>
        <w:gridCol w:w="476"/>
        <w:gridCol w:w="4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Rental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Components of Rental Income (1)</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Minimum rents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519,771 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Residential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Percentage rents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Collectibility related impacts (4)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839,509 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793,516 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(1)All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(2)Minimum rents include the following:</w:t>
      </w:r>
    </w:p>
    <w:tbl>
      <w:tblPr>
        <w:tblW w:w="7001" w:type="dxa"/>
        <w:jc w:val="center"/>
        <w:tblInd w:w="0" w:type="dxa"/>
        <w:tblLayout w:type="fixed"/>
        <w:tblCellMar>
          <w:top w:w="28" w:type="dxa"/>
          <w:left w:w="28" w:type="dxa"/>
          <w:bottom w:w="28" w:type="dxa"/>
          <w:right w:w="28" w:type="dxa"/>
        </w:tblCellMar>
      </w:tblPr>
      <w:tblGrid>
        <w:gridCol w:w="124"/>
        <w:gridCol w:w="109"/>
        <w:gridCol w:w="109"/>
        <w:gridCol w:w="436"/>
        <w:gridCol w:w="436"/>
        <w:gridCol w:w="436"/>
        <w:gridCol w:w="436"/>
        <w:gridCol w:w="436"/>
        <w:gridCol w:w="444"/>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51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Straight-line rents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in-place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9"/>
        </w:rPr>
        <w:t xml:space="preserve">(3)Includes lease termination fees of $2.4 million and $1.3 million for the three months ended September 30, 2023 and 2022, respectively, and $5.6 million and $8.4 million for the </w:t>
      </w:r>
      <w:r>
        <w:rPr>
          <w:rFonts w:ascii="Times New Roman;sans-serif" w:hAnsi="Times New Roman;sans-serif"/>
          <w:b w:val="false"/>
          <w:color w:val="000000"/>
          <w:sz w:val="18"/>
        </w:rPr>
        <w:t>nine</w:t>
      </w:r>
      <w:r>
        <w:rPr>
          <w:color w:val="000000"/>
        </w:rPr>
        <w:t xml:space="preserve"> </w:t>
      </w:r>
      <w:r>
        <w:rPr>
          <w:rFonts w:ascii="Times New Roman;sans-serif" w:hAnsi="Times New Roman;sans-serif"/>
          <w:b w:val="false"/>
          <w:color w:val="000000"/>
          <w:sz w:val="19"/>
        </w:rPr>
        <w:t>months ended September 30, 2023 and 2022, respectively.</w:t>
      </w:r>
    </w:p>
    <w:p>
      <w:pPr>
        <w:pStyle w:val="TextBody"/>
        <w:bidi w:val="0"/>
        <w:spacing w:lineRule="auto" w:line="288" w:before="60" w:after="283"/>
        <w:ind w:left="0" w:right="0" w:hanging="720"/>
        <w:jc w:val="left"/>
        <w:rPr/>
      </w:pPr>
      <w:r>
        <w:rPr>
          <w:rFonts w:ascii="Times New Roman;sans-serif" w:hAnsi="Times New Roman;sans-serif"/>
          <w:b w:val="false"/>
          <w:color w:val="000000"/>
          <w:sz w:val="19"/>
        </w:rPr>
        <w:t xml:space="preserve">(4)For the three months ended September 30, 2023 and 2022, our collectability related impacts include the collection of approximately $1.1 million and $2.0 million, respectively, and $4.1 million and $7.1 million for the </w:t>
      </w:r>
      <w:r>
        <w:rPr>
          <w:rFonts w:ascii="Times New Roman;sans-serif" w:hAnsi="Times New Roman;sans-serif"/>
          <w:b w:val="false"/>
          <w:color w:val="000000"/>
          <w:sz w:val="18"/>
        </w:rPr>
        <w:t>nine</w:t>
      </w:r>
      <w:r>
        <w:rPr>
          <w:color w:val="000000"/>
        </w:rPr>
        <w:t xml:space="preserve"> </w:t>
      </w:r>
      <w:r>
        <w:rPr>
          <w:rFonts w:ascii="Times New Roman;sans-serif" w:hAnsi="Times New Roman;sans-serif"/>
          <w:b w:val="false"/>
          <w:color w:val="000000"/>
          <w:sz w:val="19"/>
        </w:rPr>
        <w:t>months ended September 30, 2023 and 2022, respectively, of prior period rents which were contractually deferred or payment renegotiated specifically related to the COVID-19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34"/>
        <w:gridCol w:w="899"/>
        <w:gridCol w:w="904"/>
        <w:gridCol w:w="324"/>
        <w:gridCol w:w="1271"/>
        <w:gridCol w:w="417"/>
        <w:gridCol w:w="167"/>
        <w:gridCol w:w="167"/>
        <w:gridCol w:w="167"/>
        <w:gridCol w:w="324"/>
        <w:gridCol w:w="1271"/>
        <w:gridCol w:w="417"/>
        <w:gridCol w:w="679"/>
        <w:gridCol w:w="167"/>
        <w:gridCol w:w="167"/>
        <w:gridCol w:w="167"/>
        <w:gridCol w:w="167"/>
        <w:gridCol w:w="167"/>
        <w:gridCol w:w="109"/>
        <w:gridCol w:w="109"/>
        <w:gridCol w:w="109"/>
        <w:gridCol w:w="109"/>
        <w:gridCol w:w="109"/>
        <w:gridCol w:w="109"/>
        <w:gridCol w:w="109"/>
        <w:gridCol w:w="166"/>
      </w:tblGrid>
      <w:tr>
        <w:trPr/>
        <w:tc>
          <w:tcPr>
            <w:tcW w:w="14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Comparable Property Information</w:t>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27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Q3 include: Assembly Row Phase 3, CocoWalk, Darien Commons, Friendship Center, Huntington Shopping Center, Pike &amp; Rose Phases 3 and 4, Willow Grove Shopping Center, and all properties acquired, disposed of, or not consolidated from Q3 2022 to Q3 2023. Comparable Property property operating income ("Comparable Property POI") is a non-GAAP measure used by management in evaluating the operating performance of our properties period over period. </w:t>
            </w:r>
          </w:p>
        </w:tc>
        <w:tc>
          <w:tcPr>
            <w:tcW w:w="929" w:type="dxa"/>
            <w:gridSpan w:val="8"/>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7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Reconciliation of GAAP operating income to Comparable Property POI</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100,084 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191,727 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Add: </w:t>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81,731 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77,109 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13,149 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13,100 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deconsolidation of VIE</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(70,374)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sale of real estate</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(29,723)</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operating income (POI)</w:t>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194,964 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181,839 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Non-comparable POI - acquisitions/dispositions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(6,092)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(5,215)</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Non-comparable POI - redevelopment, development &amp; other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(18,351)</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(12,267)</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Comparable property POI</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170,521 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164,357 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7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Additional information regarding the components of Comparable Property POI</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Minimum rents (1)</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187,889 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182,862 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reimbursements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49,171 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46,396 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12,292 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11,871 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Collectibility related impacts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249,703 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241,893 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Rental expenses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(49,079)</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(48,441)</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Real estate taxes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(30,103)</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(29,095)</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(79,182)</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(77,536)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Comparable property POI</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170,521 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164,357 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Less: </w:t>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termination fees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(2,390)</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(1,313)</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Prior period rents collected (2)</w:t>
            </w:r>
          </w:p>
        </w:tc>
        <w:tc>
          <w:tcPr>
            <w:tcW w:w="1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(867)</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(1,719)</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Comparable property POI excluding lease termination fees and prior period rents collected</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167,264 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161,325 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7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Comparable Property - Summary of Capital Expenditures (3)</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Redevelopment and tenant improvements and incentives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30,998 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37,726 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Maintenance capital expenditures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4,927 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9,623 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35,925 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47,349 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7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Comparable Property - Occupancy Statistics (3)</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September 30,</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GLA - comparable commercial properties</w:t>
            </w:r>
          </w:p>
        </w:tc>
        <w:tc>
          <w:tcPr>
            <w:tcW w:w="2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23,552,000</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23,545,000</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Leased % - comparable commercial properties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93.8 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94.2 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Occupancy % - comparable commercial properties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92.0 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92.1 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0" w:after="0"/>
        <w:ind w:left="0" w:right="0" w:hanging="720"/>
        <w:jc w:val="left"/>
        <w:rPr/>
      </w:pPr>
      <w:r>
        <w:rPr>
          <w:rFonts w:ascii="Times New Roman;sans-serif" w:hAnsi="Times New Roman;sans-serif"/>
          <w:b w:val="false"/>
          <w:color w:val="000000"/>
          <w:sz w:val="19"/>
        </w:rPr>
        <w:t>(1)</w:t>
      </w:r>
      <w:r>
        <w:rPr>
          <w:rFonts w:ascii="Times New Roman;sans-serif" w:hAnsi="Times New Roman;sans-serif"/>
          <w:b w:val="false"/>
          <w:color w:val="000000"/>
          <w:sz w:val="18"/>
        </w:rPr>
        <w:t>For the three months ended September 30, 2023 and 2022, amount includes straight-line rents of $1.9 million and $2.3 million and amortization of in-place leases of $2.8 million and $2.4 million, respectively.</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(2)Amount represents collection of prior period rents which were contractually deferred or payment renegotiated specifically related to the COVID-19 pandemic.</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 xml:space="preserve">(3)See page </w:t>
      </w:r>
      <w:hyperlink w:anchor="ie577aa2835894a409a4c42794f88ed72_16">
        <w:r>
          <w:rPr>
            <w:rStyle w:val="InternetLink"/>
            <w:rFonts w:ascii="Times New Roman;sans-serif" w:hAnsi="Times New Roman;sans-serif"/>
            <w:b w:val="false"/>
            <w:strike w:val="false"/>
            <w:dstrike w:val="false"/>
            <w:color w:val="000000"/>
            <w:sz w:val="18"/>
            <w:u w:val="none"/>
            <w:effect w:val="none"/>
          </w:rPr>
          <w:t>9</w:t>
        </w:r>
      </w:hyperlink>
      <w:r>
        <w:rPr>
          <w:rFonts w:ascii="Times New Roman;sans-serif" w:hAnsi="Times New Roman;sans-serif"/>
          <w:b w:val="false"/>
          <w:color w:val="000000"/>
          <w:sz w:val="18"/>
        </w:rPr>
        <w:t xml:space="preserve"> for "Summary of Capital Expenditures" and page </w:t>
      </w:r>
      <w:hyperlink w:anchor="ie577aa2835894a409a4c42794f88ed72_55">
        <w:r>
          <w:rPr>
            <w:rStyle w:val="InternetLink"/>
            <w:rFonts w:ascii="Times New Roman;sans-serif" w:hAnsi="Times New Roman;sans-serif"/>
            <w:b w:val="false"/>
            <w:strike w:val="false"/>
            <w:dstrike w:val="false"/>
            <w:color w:val="000000"/>
            <w:sz w:val="18"/>
            <w:u w:val="none"/>
            <w:effect w:val="none"/>
          </w:rPr>
          <w:t>25</w:t>
        </w:r>
      </w:hyperlink>
      <w:r>
        <w:rPr>
          <w:rFonts w:ascii="Times New Roman;sans-serif" w:hAnsi="Times New Roman;sans-serif"/>
          <w:b w:val="false"/>
          <w:color w:val="000000"/>
          <w:sz w:val="18"/>
        </w:rPr>
        <w:t xml:space="preserve"> for portfolio occupancy statistics for our entire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2"/>
        <w:gridCol w:w="161"/>
        <w:gridCol w:w="161"/>
        <w:gridCol w:w="2078"/>
        <w:gridCol w:w="2030"/>
        <w:gridCol w:w="2053"/>
        <w:gridCol w:w="109"/>
        <w:gridCol w:w="109"/>
        <w:gridCol w:w="109"/>
        <w:gridCol w:w="213"/>
        <w:gridCol w:w="1093"/>
        <w:gridCol w:w="109"/>
        <w:gridCol w:w="109"/>
        <w:gridCol w:w="109"/>
        <w:gridCol w:w="109"/>
        <w:gridCol w:w="213"/>
        <w:gridCol w:w="1093"/>
        <w:gridCol w:w="165"/>
      </w:tblGrid>
      <w:tr>
        <w:trPr/>
        <w:tc>
          <w:tcPr>
            <w:tcW w:w="1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Market Data and Leverage and Liquidity Ratios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66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and downREIT operating partnership units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market capitalization including downREIT operating partnership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7,376,953 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C preferred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equity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shares outstanding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1 preferred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equity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7,536,778 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4,296,899 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4,150,685 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11,687,463 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and Liquidity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to market capitalization at market price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EBITDAre to combined fixed charges and preferred share dividends, three months ended (4)(5)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4.0x</w:t>
            </w:r>
          </w:p>
        </w:tc>
      </w:tr>
      <w:tr>
        <w:trPr/>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Ratio of EBITDAre to combined fixed charges and preferred share dividends, nine months ended (4)(5)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4.1x</w:t>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504" w:type="dxa"/>
            <w:gridSpan w:val="3"/>
            <w:tcBorders/>
            <w:vAlign w:val="center"/>
          </w:tcPr>
          <w:p>
            <w:pPr>
              <w:pStyle w:val="TableContents"/>
              <w:bidi w:val="0"/>
              <w:spacing w:before="0" w:after="283"/>
              <w:jc w:val="left"/>
              <w:rPr>
                <w:sz w:val="4"/>
                <w:szCs w:val="4"/>
              </w:rPr>
            </w:pPr>
            <w:r>
              <w:rPr>
                <w:sz w:val="4"/>
                <w:szCs w:val="4"/>
              </w:rPr>
            </w:r>
          </w:p>
        </w:tc>
        <w:tc>
          <w:tcPr>
            <w:tcW w:w="6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(1)Amounts include 635,431 and 652,233 downREIT operating partnership units outstanding at September 30, 2023 and 2022, respectively.</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(2)These shares, issued March 8, 2007, are unregistered.</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(3)Total net debt includes mortgages payable, notes payable, senior notes and debentures, net of premiums/discounts and debt issuance costs and net of cash and cash equivalents from our consolidated balance sheet.</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(4)EBITDAre is reconciled to net income in the Glossary of Terms.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(5)Fixed charges consist of interest on borrowed funds and finance leases (including capitalized interest), amortization of debt discount/premium and debt costs, and the portion of rent expense representing an interest factor.</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4"/>
        <w:gridCol w:w="232"/>
        <w:gridCol w:w="232"/>
        <w:gridCol w:w="686"/>
        <w:gridCol w:w="655"/>
        <w:gridCol w:w="580"/>
        <w:gridCol w:w="447"/>
        <w:gridCol w:w="447"/>
        <w:gridCol w:w="448"/>
        <w:gridCol w:w="109"/>
        <w:gridCol w:w="109"/>
        <w:gridCol w:w="109"/>
        <w:gridCol w:w="407"/>
        <w:gridCol w:w="396"/>
        <w:gridCol w:w="397"/>
        <w:gridCol w:w="109"/>
        <w:gridCol w:w="109"/>
        <w:gridCol w:w="109"/>
        <w:gridCol w:w="196"/>
        <w:gridCol w:w="871"/>
        <w:gridCol w:w="109"/>
        <w:gridCol w:w="109"/>
        <w:gridCol w:w="109"/>
        <w:gridCol w:w="109"/>
        <w:gridCol w:w="164"/>
        <w:gridCol w:w="155"/>
        <w:gridCol w:w="151"/>
        <w:gridCol w:w="109"/>
        <w:gridCol w:w="109"/>
        <w:gridCol w:w="109"/>
        <w:gridCol w:w="328"/>
        <w:gridCol w:w="318"/>
        <w:gridCol w:w="318"/>
        <w:gridCol w:w="318"/>
        <w:gridCol w:w="318"/>
        <w:gridCol w:w="460"/>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Outstanding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6"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effective rate (6)</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Mortgages Payable (1)</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(2)</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4.01%</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 payable</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(4)(5)</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Senior notes and debentures</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3.95%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4,450,525 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rate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variable rate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399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4,450,525 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bl>
    <w:p>
      <w:pPr>
        <w:pStyle w:val="TextBody"/>
        <w:bidi w:val="0"/>
        <w:spacing w:lineRule="auto" w:line="288" w:before="6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(1)Mortgages payable does not include our share of debt on our unconsolidated real estate partnerships. At September 30, 2023, our share of unconsolidated debt was approximately $62.5 million. At September 30, 2023, our noncontrolling interests' share of mortgages payable was $15.5 million.</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(2)We have two interest rate swap agreements that fix the interest rate on the mortgage loan at 3.67%. The reference rate for the mortgage loan and related swaps was amended from LIBOR to SOFR in May 2023. This amendment was effective for interest payments subsequent to July 1, 2023.</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(3)The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(4)Our revolving credit facility SOFR loans bear interest at Daily Simple SOFR or Term SOFR and our term loan bears interest at Term SOFR as defined in the respective credit agreements, plus 0.10%, plus a spread, based on our current credit rating.</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(5)The maximum amount drawn under our $1.25 billion revolving credit facility during the three and nine months ended September 30, 2023 was $63.5 million and $80.5 million, respectively. The weighted average interest rate on borrowings under our credit facility, before amortization of debt fees, for the three and nine months ended September 30, 2023 was 6.1% and 5.7%, respectively.</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(6)The weighted average effective interest rate includes the amortization of any debt issuance costs and discounts and premiums, if applicable, except as described in Note 7.</w:t>
      </w:r>
    </w:p>
    <w:p>
      <w:pPr>
        <w:pStyle w:val="TextBody"/>
        <w:bidi w:val="0"/>
        <w:spacing w:lineRule="auto" w:line="288" w:before="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(7)The weighted average effective interest rate excludes $0.9 million in quarterly financing fees and quarterly debt fee amortization on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40"/>
        <w:gridCol w:w="300"/>
        <w:gridCol w:w="306"/>
        <w:gridCol w:w="319"/>
        <w:gridCol w:w="1092"/>
        <w:gridCol w:w="166"/>
        <w:gridCol w:w="109"/>
        <w:gridCol w:w="109"/>
        <w:gridCol w:w="109"/>
        <w:gridCol w:w="211"/>
        <w:gridCol w:w="976"/>
        <w:gridCol w:w="109"/>
        <w:gridCol w:w="109"/>
        <w:gridCol w:w="109"/>
        <w:gridCol w:w="109"/>
        <w:gridCol w:w="211"/>
        <w:gridCol w:w="976"/>
        <w:gridCol w:w="109"/>
        <w:gridCol w:w="109"/>
        <w:gridCol w:w="109"/>
        <w:gridCol w:w="109"/>
        <w:gridCol w:w="445"/>
        <w:gridCol w:w="334"/>
        <w:gridCol w:w="835"/>
        <w:gridCol w:w="109"/>
        <w:gridCol w:w="109"/>
        <w:gridCol w:w="109"/>
        <w:gridCol w:w="109"/>
        <w:gridCol w:w="109"/>
        <w:gridCol w:w="361"/>
        <w:gridCol w:w="346"/>
        <w:gridCol w:w="866"/>
        <w:gridCol w:w="109"/>
        <w:gridCol w:w="109"/>
        <w:gridCol w:w="159"/>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Debt Maturities</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950"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Scheduled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of Debt Maturing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 (4)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4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The above table assumes all extension options are exercised.</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(1)Our $600.0 million term loan matures on April 16, 2024, plus two one-year extensions at our option to April 16, 2026.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(2)Our $1.25 billion revolving credit facility matures on April 5, 2027, plus two six-month extensions at our option to April 5, 2028. As of September 30, 2023, there was $50.5 million outstanding under this credit facility.</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(3)The total debt maturities differ from the total reported on the consolidated balance sheet due to the debt issuance costs and unamortized net premium/discount on certain mortgage loans, notes payable, and senior notes as of September 30, 2023. The weighted average remaining term on our mortgages payable, notes payable, and senior notes and debentures is approximately 7 years.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(4)The weighted average rate reflects the weighted average interest rate on debt maturing in the respective year.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(5)The weighted average rate excludes $0.9 million in quarterly financing fees and quarterly debt fee amortization on our $1.25 billion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69"/>
        <w:gridCol w:w="250"/>
        <w:gridCol w:w="250"/>
        <w:gridCol w:w="634"/>
        <w:gridCol w:w="233"/>
        <w:gridCol w:w="237"/>
        <w:gridCol w:w="1332"/>
        <w:gridCol w:w="1148"/>
        <w:gridCol w:w="1162"/>
        <w:gridCol w:w="210"/>
        <w:gridCol w:w="210"/>
        <w:gridCol w:w="468"/>
        <w:gridCol w:w="296"/>
        <w:gridCol w:w="296"/>
        <w:gridCol w:w="297"/>
        <w:gridCol w:w="339"/>
        <w:gridCol w:w="192"/>
        <w:gridCol w:w="175"/>
        <w:gridCol w:w="498"/>
        <w:gridCol w:w="354"/>
        <w:gridCol w:w="356"/>
        <w:gridCol w:w="109"/>
        <w:gridCol w:w="109"/>
        <w:gridCol w:w="109"/>
        <w:gridCol w:w="109"/>
        <w:gridCol w:w="163"/>
      </w:tblGrid>
      <w:tr>
        <w:trPr/>
        <w:tc>
          <w:tcPr>
            <w:tcW w:w="66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Redevelopment and Expansion Opportunities</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0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The following redevelopment opportunities are actively being worked on by the Trust.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64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64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9036" w:type="dxa"/>
            <w:gridSpan w:val="23"/>
            <w:tcBorders/>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64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64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64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5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Active Mixed-Use Redevelopment/Expansion Projects</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(1)</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(2)</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2023 POI Delivered(2)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West (3)</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Jose, CA</w:t>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376,000 square foot office building</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 $330</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 - 915 Meeting Street (3)</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 Bethesda, MD</w:t>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266,000 square foot office building with 10,000 square feet of retail space. 160,000 square feet of office and 8,000 square feet of retail space leased.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 $200</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5 - 10%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CT</w:t>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a 45,000 square foot anchor space to construct 75,000 square feet of new retail space, 122 rental apartments, and 720 parking spaces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 $120</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50 - 60 %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Active Mixed-Use Redevelopment/Expansion Projects</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$610 - $650</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Active Redevelopment/Expansion Projects</w:t>
            </w:r>
          </w:p>
        </w:tc>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(4)</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Anticipated Stabilization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NY</w:t>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the main two level building consisting of 161,000 square feet of anchor and small shop space to construct 102,000 square feet of new ground-level anchor and small shop retail space</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7 - 8 %</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 $85</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 Park</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Broomall, PA</w:t>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Full shopping center redevelopment to include expansion of Main Line Health into vacant lower level space, creation of 17,800 square feet of small shop space converted from vacated anchor space, a new 2,000 square foot bank pad building, and a façade renovation for the entire center</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 PA</w:t>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17,000 square foot multi-tenant pad building</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7 Plaza</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Vienna, VA</w:t>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3,200 square foot pad building pre-leased to a restaurant tenant</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Flourtown</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Flourtown, PA</w:t>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2,450 square foot bank pad building</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Stabilized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Dedham</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Dedham, MA</w:t>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4,000 square foot pad building with drive-thru pre-leased to a restaurant tenant</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Stabilized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64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64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64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Active Redevelopment/Expansion Projects</w:t>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7 - 8 %</w:t>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$115 - $120</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Active Property Improvement Projects (6)</w:t>
            </w:r>
          </w:p>
        </w:tc>
        <w:tc>
          <w:tcPr>
            <w:tcW w:w="3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 Properties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Ongoing improvements at 16 properties to better position those properties to capture a disproportionate amount of retail demand</w:t>
            </w:r>
          </w:p>
        </w:tc>
        <w:tc>
          <w:tcPr>
            <w:tcW w:w="888"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- 13%</w:t>
            </w:r>
          </w:p>
        </w:tc>
        <w:tc>
          <w:tcPr>
            <w:tcW w:w="88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70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(1)There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(2)Projected ROI for mixed-use redevelopment/expansion projects reflects the unleveraged Property Operating Income (POI) generated by the project and is calculated as POI divided by cost. Projected POI delivered includes straight line rent.</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(3)Projected costs for Pike &amp; Rose include an allocation of infrastructure costs for the entire project. Santana West includes an allocation of infrastructure for the Santana West site.</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(4)Projected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(5)Stabilization is generally the year in which 90% physical occupancy of the redeveloped space is achieved. Economic stabilization may occur at a later point in time.</w:t>
      </w:r>
    </w:p>
    <w:p>
      <w:pPr>
        <w:pStyle w:val="TextBody"/>
        <w:bidi w:val="0"/>
        <w:spacing w:lineRule="auto" w:line="288" w:before="0" w:after="0"/>
        <w:ind w:left="0" w:right="0" w:hanging="720"/>
        <w:jc w:val="left"/>
        <w:rPr>
          <w:rFonts w:ascii="Times New Roman;sans-serif" w:hAnsi="Times New Roman;sans-serif"/>
          <w:b w:val="false"/>
          <w:color w:val="000000"/>
          <w:sz w:val="15"/>
        </w:rPr>
      </w:pPr>
      <w:r>
        <w:rPr>
          <w:rFonts w:ascii="Times New Roman;sans-serif" w:hAnsi="Times New Roman;sans-serif"/>
          <w:b w:val="false"/>
          <w:color w:val="000000"/>
          <w:sz w:val="15"/>
        </w:rPr>
        <w:t>(6)Property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43"/>
        <w:gridCol w:w="438"/>
        <w:gridCol w:w="438"/>
        <w:gridCol w:w="438"/>
        <w:gridCol w:w="438"/>
        <w:gridCol w:w="438"/>
        <w:gridCol w:w="1341"/>
        <w:gridCol w:w="438"/>
        <w:gridCol w:w="438"/>
        <w:gridCol w:w="1093"/>
        <w:gridCol w:w="438"/>
        <w:gridCol w:w="438"/>
        <w:gridCol w:w="1067"/>
        <w:gridCol w:w="438"/>
        <w:gridCol w:w="438"/>
        <w:gridCol w:w="509"/>
        <w:gridCol w:w="219"/>
        <w:gridCol w:w="315"/>
      </w:tblGrid>
      <w:tr>
        <w:trPr/>
        <w:tc>
          <w:tcPr>
            <w:tcW w:w="8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Federal Realty Investment Trust</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Future Redevelopment and Expansion Opportunities</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September 30, 2023</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rPr>
            </w:pPr>
            <w:r>
              <w:rPr>
                <w:rFonts w:ascii="Times New Roman;sans-serif" w:hAnsi="Times New Roman;sans-serif"/>
                <w:b/>
                <w:i/>
                <w:color w:val="000000"/>
                <w:sz w:val="19"/>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Redevelopment Opportunities</w:t>
            </w:r>
          </w:p>
        </w:tc>
      </w:tr>
      <w:tr>
        <w:trPr/>
        <w:tc>
          <w:tcPr>
            <w:tcW w:w="3033"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w:t>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Location</w:t>
            </w:r>
          </w:p>
        </w:tc>
        <w:tc>
          <w:tcPr>
            <w:tcW w:w="1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Expansion/Conversion (4)</w:t>
            </w:r>
          </w:p>
        </w:tc>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Residential (5)</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Mixed Use - Long Term</w:t>
            </w:r>
          </w:p>
        </w:tc>
      </w:tr>
      <w:tr>
        <w:trPr/>
        <w:tc>
          <w:tcPr>
            <w:tcW w:w="303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Assembly Row (1)</w:t>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Somerville, MA</w:t>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Andorra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Philadelphia, PA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 Cynwyd</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 Cynwyd, PA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Barracks Road</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Charlottesville,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Bethesda Row</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Bethesda, MD</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Camelback Colonnade</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Phoenix, AZ</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Chelsea Commons</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Chelsea, MA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Dedham Plaza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Dedham, MA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Escondido Promenade</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Escondido, CA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Junction</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Federal Plaza</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Rockville, MD</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Fresh Meadows</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Queens, NY</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Friendship Center</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Washington, DC</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Grossmont Center</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 Mesa, CA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Hoboken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Hoboken, NJ</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 NY</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Mercer Mall</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Lawrenceville, NJ</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Pan Am</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Pike &amp; Rose (2)</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North Bethesda, MD</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Pike 7 Plaza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Vienna, VA</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Riverpoint Center</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Chicago, IL</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Santana Row (3)</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 Jose, CA</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Santana Row - Santana West (3)</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 Jose, CA</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AVENUE at White Marsh</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White Marsh, MD</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Village at Shirlington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Arlington, VA</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Grove</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Grove, PA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Lawn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Richmond, VA</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bidi w:val="0"/>
        <w:spacing w:lineRule="auto" w:line="288" w:before="120" w:after="283"/>
        <w:ind w:left="0" w:right="0" w:hanging="720"/>
        <w:jc w:val="left"/>
        <w:rPr/>
      </w:pPr>
      <w:r>
        <w:rPr>
          <w:rFonts w:ascii="Times New Roman;sans-serif" w:hAnsi="Times New Roman;sans-serif"/>
          <w:b w:val="false"/>
          <w:color w:val="000000"/>
          <w:sz w:val="19"/>
        </w:rPr>
        <w:t>(1)</w:t>
      </w:r>
      <w:r>
        <w:rPr>
          <w:rFonts w:ascii="Times New Roman;sans-serif" w:hAnsi="Times New Roman;sans-serif"/>
          <w:b w:val="false"/>
          <w:color w:val="000000"/>
          <w:sz w:val="20"/>
        </w:rPr>
        <w:t>Remaining entitlements at Assembly Row include approximately 1.5 million square feet of commercial-use buildings and 326 residential units.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(2)Remaining entitlements at Pike &amp; Rose include approximately 530,000 square feet of commercial-use buildings and 741 residential units.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(3)Remaining entitlements at Santana Row include approximately 321,000 square feet of commercial space and 395 residential units, as well as approximately 604,000 square feet of commercial space across from Santana Row.</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(5)Residential includes opportunities to add residential units to existing retail and mixed-use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5309" w:type="dxa"/>
        <w:jc w:val="left"/>
        <w:tblInd w:w="0" w:type="dxa"/>
        <w:tblLayout w:type="fixed"/>
        <w:tblCellMar>
          <w:top w:w="28" w:type="dxa"/>
          <w:left w:w="28" w:type="dxa"/>
          <w:bottom w:w="28" w:type="dxa"/>
          <w:right w:w="28" w:type="dxa"/>
        </w:tblCellMar>
      </w:tblPr>
      <w:tblGrid>
        <w:gridCol w:w="16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49"/>
        <w:gridCol w:w="109"/>
        <w:gridCol w:w="109"/>
        <w:gridCol w:w="154"/>
      </w:tblGrid>
      <w:tr>
        <w:trPr/>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Acquisition, Dispositions, &amp; Other Transactions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18"/>
          <w:u w:val="single"/>
        </w:rPr>
      </w:pPr>
      <w:r>
        <w:rPr>
          <w:rFonts w:ascii="Times New Roman;sans-serif" w:hAnsi="Times New Roman;sans-serif"/>
          <w:b/>
          <w:color w:val="000000"/>
          <w:sz w:val="18"/>
          <w:u w:val="single"/>
        </w:rPr>
        <w:t>Property Acquisition</w:t>
      </w:r>
    </w:p>
    <w:tbl>
      <w:tblPr>
        <w:tblW w:w="10205" w:type="dxa"/>
        <w:jc w:val="left"/>
        <w:tblInd w:w="0" w:type="dxa"/>
        <w:tblLayout w:type="fixed"/>
        <w:tblCellMar>
          <w:top w:w="28" w:type="dxa"/>
          <w:left w:w="28" w:type="dxa"/>
          <w:bottom w:w="28" w:type="dxa"/>
          <w:right w:w="28" w:type="dxa"/>
        </w:tblCellMar>
      </w:tblPr>
      <w:tblGrid>
        <w:gridCol w:w="446"/>
        <w:gridCol w:w="393"/>
        <w:gridCol w:w="396"/>
        <w:gridCol w:w="109"/>
        <w:gridCol w:w="109"/>
        <w:gridCol w:w="109"/>
        <w:gridCol w:w="522"/>
        <w:gridCol w:w="522"/>
        <w:gridCol w:w="530"/>
        <w:gridCol w:w="109"/>
        <w:gridCol w:w="109"/>
        <w:gridCol w:w="109"/>
        <w:gridCol w:w="604"/>
        <w:gridCol w:w="604"/>
        <w:gridCol w:w="606"/>
        <w:gridCol w:w="109"/>
        <w:gridCol w:w="109"/>
        <w:gridCol w:w="109"/>
        <w:gridCol w:w="392"/>
        <w:gridCol w:w="382"/>
        <w:gridCol w:w="389"/>
        <w:gridCol w:w="109"/>
        <w:gridCol w:w="109"/>
        <w:gridCol w:w="109"/>
        <w:gridCol w:w="109"/>
        <w:gridCol w:w="109"/>
        <w:gridCol w:w="294"/>
        <w:gridCol w:w="700"/>
        <w:gridCol w:w="164"/>
        <w:gridCol w:w="109"/>
        <w:gridCol w:w="109"/>
        <w:gridCol w:w="109"/>
        <w:gridCol w:w="409"/>
        <w:gridCol w:w="409"/>
        <w:gridCol w:w="590"/>
      </w:tblGrid>
      <w:tr>
        <w:trPr/>
        <w:tc>
          <w:tcPr>
            <w:tcW w:w="4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GLA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Principal Tenants</w:t>
            </w:r>
          </w:p>
        </w:tc>
      </w:tr>
      <w:tr>
        <w:trPr/>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square feet)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Huntington Square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Northport,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 Home / AMC</w:t>
            </w:r>
          </w:p>
        </w:tc>
      </w:tr>
    </w:tbl>
    <w:p>
      <w:pPr>
        <w:pStyle w:val="TextBody"/>
        <w:bidi w:val="0"/>
        <w:spacing w:lineRule="auto" w:line="288" w:before="0" w:after="0"/>
        <w:ind w:left="0" w:right="0" w:hanging="72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(1)The purchase price includes the acquisition of the portions of the property not previously owned, as well as the acquisition of the fee interest in the land underneath the portion of Huntington Square shopping center which we control under a long-term ground lease. </w:t>
      </w:r>
    </w:p>
    <w:p>
      <w:pPr>
        <w:pStyle w:val="TextBody"/>
        <w:bidi w:val="0"/>
        <w:spacing w:before="0" w:after="0"/>
        <w:ind w:left="0" w:right="0" w:hanging="270"/>
        <w:jc w:val="left"/>
        <w:rPr/>
      </w:pPr>
      <w:r>
        <w:rPr/>
      </w:r>
    </w:p>
    <w:p>
      <w:pPr>
        <w:pStyle w:val="TextBody"/>
        <w:bidi w:val="0"/>
        <w:spacing w:lineRule="auto" w:line="288" w:before="24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Property Dispositions</w:t>
      </w:r>
    </w:p>
    <w:tbl>
      <w:tblPr>
        <w:tblW w:w="8710" w:type="dxa"/>
        <w:jc w:val="left"/>
        <w:tblInd w:w="0" w:type="dxa"/>
        <w:tblLayout w:type="fixed"/>
        <w:tblCellMar>
          <w:top w:w="28" w:type="dxa"/>
          <w:left w:w="28" w:type="dxa"/>
          <w:bottom w:w="28" w:type="dxa"/>
          <w:right w:w="28" w:type="dxa"/>
        </w:tblCellMar>
      </w:tblPr>
      <w:tblGrid>
        <w:gridCol w:w="521"/>
        <w:gridCol w:w="457"/>
        <w:gridCol w:w="462"/>
        <w:gridCol w:w="109"/>
        <w:gridCol w:w="109"/>
        <w:gridCol w:w="109"/>
        <w:gridCol w:w="889"/>
        <w:gridCol w:w="889"/>
        <w:gridCol w:w="892"/>
        <w:gridCol w:w="109"/>
        <w:gridCol w:w="109"/>
        <w:gridCol w:w="109"/>
        <w:gridCol w:w="668"/>
        <w:gridCol w:w="668"/>
        <w:gridCol w:w="673"/>
        <w:gridCol w:w="109"/>
        <w:gridCol w:w="109"/>
        <w:gridCol w:w="109"/>
        <w:gridCol w:w="109"/>
        <w:gridCol w:w="109"/>
        <w:gridCol w:w="259"/>
        <w:gridCol w:w="617"/>
        <w:gridCol w:w="144"/>
        <w:gridCol w:w="109"/>
        <w:gridCol w:w="109"/>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City/State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 Price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Town Center of New Britain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Britain, Pennsylvania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Street Promenade (1 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Santa Monica, California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Other Investment Transactions</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 May 26, 2023, we exercised our option and acquired the 22.3% tenancy in common ("TIC") interest from our co-owner at Escondido Promenade for $30.5 million, bringing our ownership interest to 100%. As a result of the transaction, we gained control of this property, and effective May 26, 2023, we have consolidated this property.</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October 12, 2023, we acquired the fee interest under a portion of our Mercer on One (formerly known as Mercer Mall) property for $55.0 million pursuant to the purchase option included in the master lease. </w:t>
      </w:r>
    </w:p>
    <w:p>
      <w:pPr>
        <w:pStyle w:val="TextBody"/>
        <w:bidi w:val="0"/>
        <w:spacing w:before="180" w:after="283"/>
        <w:jc w:val="left"/>
        <w:rPr/>
      </w:pPr>
      <w:r>
        <w:rPr/>
      </w:r>
    </w:p>
    <w:p>
      <w:pPr>
        <w:pStyle w:val="TextBody"/>
        <w:bidi w:val="0"/>
        <w:spacing w:lineRule="auto" w:line="288" w:before="24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Financing Transactions</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April 12, 2023, we issued $350.0 million of fixed rate senior unsecured notes that mature on May 1, 2028 and bear interest at 5.375%. The notes were offered at 99.590% of the principal amount with a yield to maturity of 5.468%. The net proceeds, after issuance discount, underwriting fees, and other costs were $345.7 million. </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 June 1, 2023, we repaid our $275.0 million 2.75% senior unsecured notes at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12423" w:type="dxa"/>
        <w:jc w:val="center"/>
        <w:tblInd w:w="0" w:type="dxa"/>
        <w:tblLayout w:type="fixed"/>
        <w:tblCellMar>
          <w:top w:w="28" w:type="dxa"/>
          <w:left w:w="28" w:type="dxa"/>
          <w:bottom w:w="28" w:type="dxa"/>
          <w:right w:w="28" w:type="dxa"/>
        </w:tblCellMar>
      </w:tblPr>
      <w:tblGrid>
        <w:gridCol w:w="549"/>
        <w:gridCol w:w="205"/>
        <w:gridCol w:w="207"/>
        <w:gridCol w:w="109"/>
        <w:gridCol w:w="109"/>
        <w:gridCol w:w="109"/>
        <w:gridCol w:w="773"/>
        <w:gridCol w:w="773"/>
        <w:gridCol w:w="585"/>
        <w:gridCol w:w="109"/>
        <w:gridCol w:w="181"/>
        <w:gridCol w:w="616"/>
        <w:gridCol w:w="109"/>
        <w:gridCol w:w="181"/>
        <w:gridCol w:w="541"/>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321"/>
        <w:gridCol w:w="220"/>
        <w:gridCol w:w="221"/>
        <w:gridCol w:w="109"/>
        <w:gridCol w:w="109"/>
        <w:gridCol w:w="109"/>
        <w:gridCol w:w="365"/>
        <w:gridCol w:w="200"/>
        <w:gridCol w:w="201"/>
        <w:gridCol w:w="645"/>
        <w:gridCol w:w="195"/>
        <w:gridCol w:w="19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78"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283" w:type="dxa"/>
            <w:gridSpan w:val="10"/>
            <w:tcBorders/>
          </w:tcPr>
          <w:p>
            <w:pPr>
              <w:pStyle w:val="TableContents"/>
              <w:bidi w:val="0"/>
              <w:spacing w:before="0" w:after="283"/>
              <w:jc w:val="left"/>
              <w:rPr>
                <w:sz w:val="4"/>
                <w:szCs w:val="4"/>
              </w:rPr>
            </w:pPr>
            <w:r>
              <w:rPr>
                <w:sz w:val="4"/>
                <w:szCs w:val="4"/>
              </w:rPr>
            </w:r>
          </w:p>
        </w:tc>
      </w:tr>
      <w:tr>
        <w:trPr/>
        <w:tc>
          <w:tcPr>
            <w:tcW w:w="9378"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283" w:type="dxa"/>
            <w:gridSpan w:val="10"/>
            <w:tcBorders/>
          </w:tcPr>
          <w:p>
            <w:pPr>
              <w:pStyle w:val="TableContents"/>
              <w:bidi w:val="0"/>
              <w:spacing w:before="0" w:after="283"/>
              <w:jc w:val="left"/>
              <w:rPr>
                <w:sz w:val="4"/>
                <w:szCs w:val="4"/>
              </w:rPr>
            </w:pPr>
            <w:r>
              <w:rPr>
                <w:sz w:val="4"/>
                <w:szCs w:val="4"/>
              </w:rPr>
            </w:r>
          </w:p>
        </w:tc>
      </w:tr>
      <w:tr>
        <w:trPr/>
        <w:tc>
          <w:tcPr>
            <w:tcW w:w="9378"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762" w:type="dxa"/>
            <w:gridSpan w:val="3"/>
            <w:tcBorders/>
            <w:vAlign w:val="center"/>
          </w:tcPr>
          <w:p>
            <w:pPr>
              <w:pStyle w:val="TableContents"/>
              <w:bidi w:val="0"/>
              <w:spacing w:before="0" w:after="283"/>
              <w:jc w:val="left"/>
              <w:rPr>
                <w:sz w:val="4"/>
                <w:szCs w:val="4"/>
              </w:rPr>
            </w:pPr>
            <w:r>
              <w:rPr>
                <w:sz w:val="4"/>
                <w:szCs w:val="4"/>
              </w:rPr>
            </w:r>
          </w:p>
        </w:tc>
        <w:tc>
          <w:tcPr>
            <w:tcW w:w="2283" w:type="dxa"/>
            <w:gridSpan w:val="10"/>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Azalea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Walmart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Bell Gardens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Colorado Blvd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True Food Kitchen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Crow Canyon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Sprouts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Wine &amp; More / Rite Aid / Alamo Ace Hardware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East Bay Bridge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Pak-N-Save / 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Nordstrom Rack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Escondido Promenade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Dick’s Sporting Goods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Fourth Street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CB2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Freedom Plaza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Smart &amp; Final</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Blink Fitness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Grossmont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294,000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Walmart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Barnes &amp; Noble / / Macy's / CVS / Restoration Hardware Outlet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Hastings Ranch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HomeGoods / CVS / Sears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Hollywood Blvd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Kings Court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Lunardi's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Town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Sephora / Teleferic Barcelona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Olivo at Mission Hills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24 Hour Fitness / Ross Dress For Less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Sol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Superior Grocers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El Segundo / The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HomeGoods / Dick's Sporting Goods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Antonio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 / Walmart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24 Hour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Santana 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662</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Crate &amp; Barrel / Container Store / H&amp;M / Best Buy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Sylmar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Third Street Promenade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adidas / Patagonia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Westgate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Nike Factory / TJ Maxx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California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6,457,000 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Barcroft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Bethesda 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Apple / Equinox / Anthropologie / Nike Live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Birch &amp; Broad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Chesterbrook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Starbucks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Congressional Plaza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194</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Fresh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Ulta / Barnes &amp; Noble / Container Store / Buy Buy Baby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Courthouse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Fairfax Junction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Federal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Micro Center / Ross Dress For Less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12490" w:type="dxa"/>
        <w:jc w:val="center"/>
        <w:tblInd w:w="0" w:type="dxa"/>
        <w:tblLayout w:type="fixed"/>
        <w:tblCellMar>
          <w:top w:w="28" w:type="dxa"/>
          <w:left w:w="28" w:type="dxa"/>
          <w:bottom w:w="28" w:type="dxa"/>
          <w:right w:w="28" w:type="dxa"/>
        </w:tblCellMar>
      </w:tblPr>
      <w:tblGrid>
        <w:gridCol w:w="418"/>
        <w:gridCol w:w="246"/>
        <w:gridCol w:w="207"/>
        <w:gridCol w:w="109"/>
        <w:gridCol w:w="109"/>
        <w:gridCol w:w="109"/>
        <w:gridCol w:w="709"/>
        <w:gridCol w:w="709"/>
        <w:gridCol w:w="713"/>
        <w:gridCol w:w="109"/>
        <w:gridCol w:w="474"/>
        <w:gridCol w:w="247"/>
        <w:gridCol w:w="161"/>
        <w:gridCol w:w="296"/>
        <w:gridCol w:w="245"/>
        <w:gridCol w:w="246"/>
        <w:gridCol w:w="180"/>
        <w:gridCol w:w="181"/>
        <w:gridCol w:w="109"/>
        <w:gridCol w:w="109"/>
        <w:gridCol w:w="109"/>
        <w:gridCol w:w="109"/>
        <w:gridCol w:w="359"/>
        <w:gridCol w:w="362"/>
        <w:gridCol w:w="131"/>
        <w:gridCol w:w="109"/>
        <w:gridCol w:w="109"/>
        <w:gridCol w:w="109"/>
        <w:gridCol w:w="186"/>
        <w:gridCol w:w="175"/>
        <w:gridCol w:w="341"/>
        <w:gridCol w:w="109"/>
        <w:gridCol w:w="109"/>
        <w:gridCol w:w="109"/>
        <w:gridCol w:w="109"/>
        <w:gridCol w:w="109"/>
        <w:gridCol w:w="109"/>
        <w:gridCol w:w="260"/>
        <w:gridCol w:w="260"/>
        <w:gridCol w:w="261"/>
        <w:gridCol w:w="396"/>
        <w:gridCol w:w="220"/>
        <w:gridCol w:w="221"/>
        <w:gridCol w:w="109"/>
        <w:gridCol w:w="109"/>
        <w:gridCol w:w="109"/>
        <w:gridCol w:w="335"/>
        <w:gridCol w:w="200"/>
        <w:gridCol w:w="201"/>
        <w:gridCol w:w="809"/>
        <w:gridCol w:w="211"/>
        <w:gridCol w:w="19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20"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433" w:type="dxa"/>
            <w:gridSpan w:val="10"/>
            <w:tcBorders/>
          </w:tcPr>
          <w:p>
            <w:pPr>
              <w:pStyle w:val="TableContents"/>
              <w:bidi w:val="0"/>
              <w:spacing w:before="0" w:after="283"/>
              <w:jc w:val="left"/>
              <w:rPr>
                <w:sz w:val="4"/>
                <w:szCs w:val="4"/>
              </w:rPr>
            </w:pPr>
            <w:r>
              <w:rPr>
                <w:sz w:val="4"/>
                <w:szCs w:val="4"/>
              </w:rPr>
            </w:r>
          </w:p>
        </w:tc>
      </w:tr>
      <w:tr>
        <w:trPr/>
        <w:tc>
          <w:tcPr>
            <w:tcW w:w="9220"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433" w:type="dxa"/>
            <w:gridSpan w:val="10"/>
            <w:tcBorders/>
          </w:tcPr>
          <w:p>
            <w:pPr>
              <w:pStyle w:val="TableContents"/>
              <w:bidi w:val="0"/>
              <w:spacing w:before="0" w:after="283"/>
              <w:jc w:val="left"/>
              <w:rPr>
                <w:sz w:val="4"/>
                <w:szCs w:val="4"/>
              </w:rPr>
            </w:pPr>
            <w:r>
              <w:rPr>
                <w:sz w:val="4"/>
                <w:szCs w:val="4"/>
              </w:rPr>
            </w:r>
          </w:p>
        </w:tc>
      </w:tr>
      <w:tr>
        <w:trPr/>
        <w:tc>
          <w:tcPr>
            <w:tcW w:w="9220"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433" w:type="dxa"/>
            <w:gridSpan w:val="10"/>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(4)</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Friendship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Maggiano's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Gaithersburg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Ashley Furniture HomeStore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Graham Park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Idylwood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Kingstowne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210,805 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Safeway</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Five Below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Laurel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61,452 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Montrose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172,473 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Target (S)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 Depot Design Center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Mount Vernon/South Valley/7770 Richmond Hwy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94,963 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Shoppers Food Warehouse</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 Depot / Old Navy / Petsmart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Keene Mill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Pan 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Micro Center / CVS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&amp; Rose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856,042 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765</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Porsche / Uniqlo / REI / H&amp;M / L.L Bean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7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55,591 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DSW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Mercado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Quince Orchard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L.A. Fitness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Mart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Talbots / Total Wine &amp; More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Twinbrooke Shopping Centre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Tyson's Station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Village at Shirlington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78,856 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7,040 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AMC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Westpost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115,520 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Target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Ulta / Walgreens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Wildwood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Balducci's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2,622,062 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6,365,000 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Brick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107,259 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HomeGoods / Ulta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Brook 35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 (6)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51,111 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Gap / Williams-Sonoma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Darien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148,351 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124</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Equinox / 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Fresh Meadows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96,463 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Island of Gold / TBA</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Kohl's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Georgetowne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Foodway</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Five Below / IHOP</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12344" w:type="dxa"/>
        <w:jc w:val="center"/>
        <w:tblInd w:w="0" w:type="dxa"/>
        <w:tblLayout w:type="fixed"/>
        <w:tblCellMar>
          <w:top w:w="28" w:type="dxa"/>
          <w:left w:w="28" w:type="dxa"/>
          <w:bottom w:w="28" w:type="dxa"/>
          <w:right w:w="28" w:type="dxa"/>
        </w:tblCellMar>
      </w:tblPr>
      <w:tblGrid>
        <w:gridCol w:w="414"/>
        <w:gridCol w:w="205"/>
        <w:gridCol w:w="207"/>
        <w:gridCol w:w="109"/>
        <w:gridCol w:w="109"/>
        <w:gridCol w:w="109"/>
        <w:gridCol w:w="817"/>
        <w:gridCol w:w="817"/>
        <w:gridCol w:w="497"/>
        <w:gridCol w:w="109"/>
        <w:gridCol w:w="474"/>
        <w:gridCol w:w="247"/>
        <w:gridCol w:w="161"/>
        <w:gridCol w:w="296"/>
        <w:gridCol w:w="245"/>
        <w:gridCol w:w="246"/>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410"/>
        <w:gridCol w:w="200"/>
        <w:gridCol w:w="201"/>
        <w:gridCol w:w="825"/>
        <w:gridCol w:w="195"/>
        <w:gridCol w:w="196"/>
        <w:gridCol w:w="154"/>
      </w:tblGrid>
      <w:tr>
        <w:trPr/>
        <w:tc>
          <w:tcPr>
            <w:tcW w:w="4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75"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508" w:type="dxa"/>
            <w:gridSpan w:val="10"/>
            <w:tcBorders/>
          </w:tcPr>
          <w:p>
            <w:pPr>
              <w:pStyle w:val="TableContents"/>
              <w:bidi w:val="0"/>
              <w:spacing w:before="0" w:after="283"/>
              <w:jc w:val="left"/>
              <w:rPr>
                <w:sz w:val="4"/>
                <w:szCs w:val="4"/>
              </w:rPr>
            </w:pPr>
            <w:r>
              <w:rPr>
                <w:sz w:val="4"/>
                <w:szCs w:val="4"/>
              </w:rPr>
            </w:r>
          </w:p>
        </w:tc>
      </w:tr>
      <w:tr>
        <w:trPr/>
        <w:tc>
          <w:tcPr>
            <w:tcW w:w="9175"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508" w:type="dxa"/>
            <w:gridSpan w:val="10"/>
            <w:tcBorders/>
          </w:tcPr>
          <w:p>
            <w:pPr>
              <w:pStyle w:val="TableContents"/>
              <w:bidi w:val="0"/>
              <w:spacing w:before="0" w:after="283"/>
              <w:jc w:val="left"/>
              <w:rPr>
                <w:sz w:val="4"/>
                <w:szCs w:val="4"/>
              </w:rPr>
            </w:pPr>
            <w:r>
              <w:rPr>
                <w:sz w:val="4"/>
                <w:szCs w:val="4"/>
              </w:rPr>
            </w:r>
          </w:p>
        </w:tc>
      </w:tr>
      <w:tr>
        <w:trPr/>
        <w:tc>
          <w:tcPr>
            <w:tcW w:w="9175"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508" w:type="dxa"/>
            <w:gridSpan w:val="10"/>
            <w:tcBorders/>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(4)</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Farms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Greenwich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Saks Fifth Avenue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Hauppauge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Hoboken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 (8)</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228,026 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84,110 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Live / CVS / New York Sports Club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101,336 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Petsmart / Michaels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 (S)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Barnes &amp; Noble / At Home / AMC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Melville Mall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105,099 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Uncle Giuseppe's Marketplace</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Dick's Sporting Goods / Macy's Backstage / Public Lands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Mercer on One (formerly Mercer Mall)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Trenton, NJ</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133,856 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55,170 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Ross Dress for Less / Nordstrom Rack / REI / Tesla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Grove at Shrewsbury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 (6)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130,807 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43,600 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Lululemon / Anthropologie / Pottery Barn / Williams-Sonoma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Troy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41,422 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Fitness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1,377,532 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3,165,000 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u w:val="single"/>
              </w:rPr>
            </w:pPr>
            <w:r>
              <w:rPr>
                <w:rFonts w:ascii="Times New Roman;sans-serif" w:hAnsi="Times New Roman;sans-serif"/>
                <w:b/>
                <w:color w:val="000000"/>
                <w:sz w:val="14"/>
                <w:u w:val="single"/>
              </w:rPr>
              <w:t>New 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Assembly Row / Assembly Square 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1,126,343 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947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AMC / Nike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Campus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Burlington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Chelsea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Planet Fitness / CVS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Dedham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 Market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Linden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158,230 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 Dartmouth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Providence-Warwick, RI-MA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Queen Anne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Big Y Foods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New England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1,433,536 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2,230,000 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Philadelphia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Andorra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Kohl's / L.A. Fitness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 Cynwyd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76,625 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Ellisburg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Five Below / RH Outlet / Buy Buy Baby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Flourtown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Movie Tavern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Langhorne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Redner's Warehouse Markets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Lawrence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 (S)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Ulta / Skechers / Crunch Fitness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13102" w:type="dxa"/>
        <w:jc w:val="center"/>
        <w:tblInd w:w="0" w:type="dxa"/>
        <w:tblLayout w:type="fixed"/>
        <w:tblCellMar>
          <w:top w:w="28" w:type="dxa"/>
          <w:left w:w="28" w:type="dxa"/>
          <w:bottom w:w="28" w:type="dxa"/>
          <w:right w:w="28" w:type="dxa"/>
        </w:tblCellMar>
      </w:tblPr>
      <w:tblGrid>
        <w:gridCol w:w="364"/>
        <w:gridCol w:w="270"/>
        <w:gridCol w:w="207"/>
        <w:gridCol w:w="109"/>
        <w:gridCol w:w="109"/>
        <w:gridCol w:w="109"/>
        <w:gridCol w:w="709"/>
        <w:gridCol w:w="709"/>
        <w:gridCol w:w="713"/>
        <w:gridCol w:w="616"/>
        <w:gridCol w:w="109"/>
        <w:gridCol w:w="456"/>
        <w:gridCol w:w="160"/>
        <w:gridCol w:w="161"/>
        <w:gridCol w:w="245"/>
        <w:gridCol w:w="245"/>
        <w:gridCol w:w="246"/>
        <w:gridCol w:w="180"/>
        <w:gridCol w:w="181"/>
        <w:gridCol w:w="109"/>
        <w:gridCol w:w="360"/>
        <w:gridCol w:w="361"/>
        <w:gridCol w:w="109"/>
        <w:gridCol w:w="359"/>
        <w:gridCol w:w="362"/>
        <w:gridCol w:w="131"/>
        <w:gridCol w:w="143"/>
        <w:gridCol w:w="143"/>
        <w:gridCol w:w="211"/>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275"/>
        <w:gridCol w:w="200"/>
        <w:gridCol w:w="201"/>
        <w:gridCol w:w="570"/>
        <w:gridCol w:w="195"/>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23" w:type="dxa"/>
            <w:gridSpan w:val="4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118" w:type="dxa"/>
            <w:gridSpan w:val="10"/>
            <w:tcBorders/>
          </w:tcPr>
          <w:p>
            <w:pPr>
              <w:pStyle w:val="TableContents"/>
              <w:bidi w:val="0"/>
              <w:spacing w:before="0" w:after="283"/>
              <w:jc w:val="left"/>
              <w:rPr>
                <w:sz w:val="4"/>
                <w:szCs w:val="4"/>
              </w:rPr>
            </w:pPr>
            <w:r>
              <w:rPr>
                <w:sz w:val="4"/>
                <w:szCs w:val="4"/>
              </w:rPr>
            </w:r>
          </w:p>
        </w:tc>
      </w:tr>
      <w:tr>
        <w:trPr/>
        <w:tc>
          <w:tcPr>
            <w:tcW w:w="10323" w:type="dxa"/>
            <w:gridSpan w:val="4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118" w:type="dxa"/>
            <w:gridSpan w:val="10"/>
            <w:tcBorders/>
          </w:tcPr>
          <w:p>
            <w:pPr>
              <w:pStyle w:val="TableContents"/>
              <w:bidi w:val="0"/>
              <w:spacing w:before="0" w:after="283"/>
              <w:jc w:val="left"/>
              <w:rPr>
                <w:sz w:val="4"/>
                <w:szCs w:val="4"/>
              </w:rPr>
            </w:pPr>
            <w:r>
              <w:rPr>
                <w:sz w:val="4"/>
                <w:szCs w:val="4"/>
              </w:rPr>
            </w:r>
          </w:p>
        </w:tc>
      </w:tr>
      <w:tr>
        <w:trPr/>
        <w:tc>
          <w:tcPr>
            <w:tcW w:w="10323" w:type="dxa"/>
            <w:gridSpan w:val="4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2118" w:type="dxa"/>
            <w:gridSpan w:val="10"/>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1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(4)</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Grove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49,015 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Wynnewood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Philadelphia Metropolitan Area</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385,665 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South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CocoWalk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 (9)</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203,401 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Cinepolis Theaters / Youfit Health Club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Del Mar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75,821 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Winn Dixie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Shops at Pembroke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Factory / Old Navy / DSW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103,986 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Ross Dress For Less / Best Buy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South Florida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564,294 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1,286,000 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Baltimore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Governor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Dick's Sporting Goods / Ross Dress for Less / Petco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Perring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35,518</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Micro Center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AVENUE at White Marsh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131,566 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Ulta / Old Navy / Nike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Shoppes at Nottingham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Baltimore</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276,588 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1,124,000 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Crossroads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Fitness / Ulta / Binny's / Ferguson's Bath, Kitchen &amp; Lighting Gallery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Finley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 / Five Below / Portillo's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Garden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Mariano's Fresh Market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Riverpoint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Jewel Osco</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Old Navy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Chicago</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214,923 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Barracks 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74,551 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Old Navy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Bristol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Hartford-West Hartford-East Hartford, CT</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37,461 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Camelback Colonnade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180,418 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Fry's Food &amp; Drug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Floor &amp; Décor / Marshalls / Nordstrom Last Chance / Best Buy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Gratiot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Detroit-Warren-Dearborn, MI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Best Buy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Hilton Village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86,202 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Houston's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 PA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AutoZone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29th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DSW / Staples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10631"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65"/>
        <w:gridCol w:w="265"/>
        <w:gridCol w:w="266"/>
        <w:gridCol w:w="109"/>
        <w:gridCol w:w="181"/>
        <w:gridCol w:w="826"/>
        <w:gridCol w:w="109"/>
        <w:gridCol w:w="181"/>
        <w:gridCol w:w="646"/>
        <w:gridCol w:w="109"/>
        <w:gridCol w:w="247"/>
        <w:gridCol w:w="249"/>
        <w:gridCol w:w="109"/>
        <w:gridCol w:w="109"/>
        <w:gridCol w:w="109"/>
        <w:gridCol w:w="109"/>
        <w:gridCol w:w="412"/>
        <w:gridCol w:w="414"/>
        <w:gridCol w:w="131"/>
        <w:gridCol w:w="109"/>
        <w:gridCol w:w="109"/>
        <w:gridCol w:w="109"/>
        <w:gridCol w:w="164"/>
        <w:gridCol w:w="164"/>
        <w:gridCol w:w="363"/>
        <w:gridCol w:w="109"/>
        <w:gridCol w:w="109"/>
        <w:gridCol w:w="109"/>
        <w:gridCol w:w="109"/>
        <w:gridCol w:w="109"/>
        <w:gridCol w:w="109"/>
        <w:gridCol w:w="260"/>
        <w:gridCol w:w="260"/>
        <w:gridCol w:w="261"/>
        <w:gridCol w:w="220"/>
        <w:gridCol w:w="220"/>
        <w:gridCol w:w="221"/>
        <w:gridCol w:w="109"/>
        <w:gridCol w:w="109"/>
        <w:gridCol w:w="109"/>
        <w:gridCol w:w="200"/>
        <w:gridCol w:w="200"/>
        <w:gridCol w:w="201"/>
        <w:gridCol w:w="225"/>
        <w:gridCol w:w="195"/>
        <w:gridCol w:w="196"/>
        <w:gridCol w:w="1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72"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698" w:type="dxa"/>
            <w:gridSpan w:val="10"/>
            <w:tcBorders/>
          </w:tcPr>
          <w:p>
            <w:pPr>
              <w:pStyle w:val="TableContents"/>
              <w:bidi w:val="0"/>
              <w:spacing w:before="0" w:after="283"/>
              <w:jc w:val="left"/>
              <w:rPr>
                <w:sz w:val="4"/>
                <w:szCs w:val="4"/>
              </w:rPr>
            </w:pPr>
            <w:r>
              <w:rPr>
                <w:sz w:val="4"/>
                <w:szCs w:val="4"/>
              </w:rPr>
            </w:r>
          </w:p>
        </w:tc>
      </w:tr>
      <w:tr>
        <w:trPr/>
        <w:tc>
          <w:tcPr>
            <w:tcW w:w="8272"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698" w:type="dxa"/>
            <w:gridSpan w:val="10"/>
            <w:tcBorders/>
          </w:tcPr>
          <w:p>
            <w:pPr>
              <w:pStyle w:val="TableContents"/>
              <w:bidi w:val="0"/>
              <w:spacing w:before="0" w:after="283"/>
              <w:jc w:val="left"/>
              <w:rPr>
                <w:sz w:val="4"/>
                <w:szCs w:val="4"/>
              </w:rPr>
            </w:pPr>
            <w:r>
              <w:rPr>
                <w:sz w:val="4"/>
                <w:szCs w:val="4"/>
              </w:rPr>
            </w:r>
          </w:p>
        </w:tc>
      </w:tr>
      <w:tr>
        <w:trPr/>
        <w:tc>
          <w:tcPr>
            <w:tcW w:w="8272" w:type="dxa"/>
            <w:gridSpan w:val="4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698" w:type="dxa"/>
            <w:gridSpan w:val="10"/>
            <w:tcBorders/>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 (1)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Mortgage/Finance Lease Liabilities (2)</w:t>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(4)</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2"/>
              </w:rPr>
              <w:t>(in thousands)</w:t>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Lawn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Richmond,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Ross Dress For Less / Gold's Gym / Dick's Sporting 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Other</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561,082 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2,679,000 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Grand 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10,535,992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387,758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2,037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26,093,000</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94</w:t>
            </w:r>
            <w:r>
              <w:rPr>
                <w:color w:val="000000"/>
              </w:rPr>
              <w:t>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3,104</w:t>
            </w:r>
          </w:p>
        </w:tc>
        <w:tc>
          <w:tcPr>
            <w:tcW w:w="6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3"/>
        <w:gridCol w:w="169"/>
        <w:gridCol w:w="171"/>
        <w:gridCol w:w="2951"/>
        <w:gridCol w:w="2784"/>
        <w:gridCol w:w="3937"/>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37" w:type="dxa"/>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Includes "Finance lease right of use assets."</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The mortgage or finance lease liabilities differ from the total reported on the consolidated balance sheet due to the unamortized discount, premium, and/or debt issuance costs on certain mortgages payable.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TBA indicates that a lease is signed.</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The Trust has a controlling financial interest in this property.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the property is owned in a "downREIT" partnership, of which a wholly owned subsidiary of the Trust is the sole general partner, with third party partners holding operating partnership units.</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the property is subject to finance lease liabilities.</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40 buildings primarily along Washington Street and 14th Street in Hoboken, New Jersey.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CocoWalk and interests in four buildings in Coconut Grove.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Grocer is a shadow anchor located adjacent to the property, but is not part of the owned property.</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tbl>
      <w:tblPr>
        <w:tblW w:w="14365" w:type="dxa"/>
        <w:jc w:val="center"/>
        <w:tblInd w:w="0" w:type="dxa"/>
        <w:tblLayout w:type="fixed"/>
        <w:tblCellMar>
          <w:top w:w="28" w:type="dxa"/>
          <w:left w:w="28" w:type="dxa"/>
          <w:bottom w:w="28" w:type="dxa"/>
          <w:right w:w="28" w:type="dxa"/>
        </w:tblCellMar>
      </w:tblPr>
      <w:tblGrid>
        <w:gridCol w:w="233"/>
        <w:gridCol w:w="205"/>
        <w:gridCol w:w="208"/>
        <w:gridCol w:w="109"/>
        <w:gridCol w:w="109"/>
        <w:gridCol w:w="109"/>
        <w:gridCol w:w="241"/>
        <w:gridCol w:w="180"/>
        <w:gridCol w:w="181"/>
        <w:gridCol w:w="109"/>
        <w:gridCol w:w="109"/>
        <w:gridCol w:w="109"/>
        <w:gridCol w:w="243"/>
        <w:gridCol w:w="178"/>
        <w:gridCol w:w="395"/>
        <w:gridCol w:w="109"/>
        <w:gridCol w:w="109"/>
        <w:gridCol w:w="109"/>
        <w:gridCol w:w="435"/>
        <w:gridCol w:w="436"/>
        <w:gridCol w:w="146"/>
        <w:gridCol w:w="109"/>
        <w:gridCol w:w="109"/>
        <w:gridCol w:w="109"/>
        <w:gridCol w:w="196"/>
        <w:gridCol w:w="556"/>
        <w:gridCol w:w="109"/>
        <w:gridCol w:w="109"/>
        <w:gridCol w:w="109"/>
        <w:gridCol w:w="109"/>
        <w:gridCol w:w="196"/>
        <w:gridCol w:w="556"/>
        <w:gridCol w:w="241"/>
        <w:gridCol w:w="109"/>
        <w:gridCol w:w="109"/>
        <w:gridCol w:w="109"/>
        <w:gridCol w:w="196"/>
        <w:gridCol w:w="871"/>
        <w:gridCol w:w="109"/>
        <w:gridCol w:w="109"/>
        <w:gridCol w:w="109"/>
        <w:gridCol w:w="109"/>
        <w:gridCol w:w="167"/>
        <w:gridCol w:w="167"/>
        <w:gridCol w:w="372"/>
        <w:gridCol w:w="109"/>
        <w:gridCol w:w="109"/>
        <w:gridCol w:w="109"/>
        <w:gridCol w:w="196"/>
        <w:gridCol w:w="556"/>
        <w:gridCol w:w="241"/>
        <w:gridCol w:w="109"/>
        <w:gridCol w:w="109"/>
        <w:gridCol w:w="109"/>
        <w:gridCol w:w="266"/>
        <w:gridCol w:w="200"/>
        <w:gridCol w:w="201"/>
        <w:gridCol w:w="109"/>
        <w:gridCol w:w="109"/>
        <w:gridCol w:w="109"/>
        <w:gridCol w:w="196"/>
        <w:gridCol w:w="961"/>
        <w:gridCol w:w="109"/>
        <w:gridCol w:w="327"/>
        <w:gridCol w:w="198"/>
        <w:gridCol w:w="562"/>
        <w:gridCol w:w="111"/>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Retail Leasing Summary (1)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Per Sq. Ft.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2"/>
              </w:rPr>
              <w:t>Annual Increase in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552,765 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17,240,180 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576,345 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504,502 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2,049,131 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6,546,745 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59,726,046 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New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410,575 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242,022 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19,167,487 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927,886 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3,637,913 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55,774,331 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Renewal Lease Summary - Comparable (2) (7)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447,484 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269,091 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1,121,245 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3,951,715 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and Non-comparable (2) (8)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565,496 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602,911 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524,286 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20,974,263 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425,159 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2,117,852 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64,389,179 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Non-comparable, and Option Exercises (2) (8) (9)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1,047,182 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938,977 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11,511,825 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781,061 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20,974,263 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749,673 </w:t>
            </w:r>
          </w:p>
        </w:tc>
        <w:tc>
          <w:tcPr>
            <w:tcW w:w="37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13,601,431 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3,516,893 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64,389,179 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8"/>
        <w:gridCol w:w="165"/>
        <w:gridCol w:w="167"/>
        <w:gridCol w:w="2908"/>
        <w:gridCol w:w="2805"/>
        <w:gridCol w:w="3972"/>
      </w:tblGrid>
      <w:tr>
        <w:trPr/>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972" w:type="dxa"/>
            <w:tcBorders/>
            <w:vAlign w:val="center"/>
          </w:tcPr>
          <w:p>
            <w:pPr>
              <w:pStyle w:val="TableContents"/>
              <w:bidi w:val="0"/>
              <w:spacing w:before="0" w:after="283"/>
              <w:jc w:val="left"/>
              <w:rPr>
                <w:sz w:val="4"/>
                <w:szCs w:val="4"/>
              </w:rPr>
            </w:pPr>
            <w:r>
              <w:rPr>
                <w:sz w:val="4"/>
                <w:szCs w:val="4"/>
              </w:rPr>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reflects activity in retail spaces only for consolidated properties and Escondido Promenade, which was not consolidated from Q3 2022 through Q1 2023; office and residential spaces are not included. See Glossary of Terms for further discussion of information included above.</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Comparable leases represent those leases signed on spaces for which there was a former tenant. Contractual option exercises are not included unless they are fair market value options. </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Contractual rent represents annual rent under the new lease.</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Prior rent represents contractual rent, including percentage rent, from the prior tenant in the final 12 months of the term.</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is determined on the basis of contractual rent for the lease.</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Glossary of Terms.</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Renewal leases represent expiring leases rolling over with the same tenant in the same location. All other leases are categorized as new.</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Leases Signed, GLA Signed, Contractual Rent Per Sq. Ft. and Weighted Average Lease Term columns include information for leases signed at Phase 3 of both of our Assembly Row and Pike &amp; Rose projects and Phase 4 of Pike &amp; Rose. The Tenant Improvements &amp; Incentives and Tenant Improvements &amp; Incentives Per Sq. Ft. columns do not include the tenant improvements and incentives on leases signed for those projects; these amounts for leases signed are included in the projected costs for the respective projects.</w:t>
            </w:r>
          </w:p>
        </w:tc>
      </w:tr>
      <w:tr>
        <w:trPr/>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9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 exercises reflect a fixed rate contractual option under the lease agreement that was exercised during the period reflected.</w:t>
            </w:r>
          </w:p>
        </w:tc>
      </w:tr>
      <w:tr>
        <w:trPr/>
        <w:tc>
          <w:tcPr>
            <w:tcW w:w="520" w:type="dxa"/>
            <w:gridSpan w:val="3"/>
            <w:tcBorders/>
            <w:vAlign w:val="center"/>
          </w:tcPr>
          <w:p>
            <w:pPr>
              <w:pStyle w:val="TableContents"/>
              <w:bidi w:val="0"/>
              <w:spacing w:before="0" w:after="283"/>
              <w:jc w:val="left"/>
              <w:rPr>
                <w:sz w:val="4"/>
                <w:szCs w:val="4"/>
              </w:rPr>
            </w:pPr>
            <w:r>
              <w:rPr>
                <w:sz w:val="4"/>
                <w:szCs w:val="4"/>
              </w:rPr>
            </w:r>
          </w:p>
        </w:tc>
        <w:tc>
          <w:tcPr>
            <w:tcW w:w="9685" w:type="dxa"/>
            <w:gridSpan w:val="3"/>
            <w:tcBorders/>
            <w:vAlign w:val="center"/>
          </w:tcPr>
          <w:p>
            <w:pPr>
              <w:pStyle w:val="TableContents"/>
              <w:bidi w:val="0"/>
              <w:spacing w:before="0" w:after="283"/>
              <w:jc w:val="left"/>
              <w:rPr>
                <w:sz w:val="4"/>
                <w:szCs w:val="4"/>
              </w:rPr>
            </w:pPr>
            <w:r>
              <w:rPr>
                <w:sz w:val="4"/>
                <w:szCs w:val="4"/>
              </w:rPr>
            </w:r>
          </w:p>
        </w:tc>
      </w:tr>
      <w:tr>
        <w:trPr/>
        <w:tc>
          <w:tcPr>
            <w:tcW w:w="520" w:type="dxa"/>
            <w:gridSpan w:val="3"/>
            <w:tcBorders/>
            <w:vAlign w:val="center"/>
          </w:tcPr>
          <w:p>
            <w:pPr>
              <w:pStyle w:val="TableContents"/>
              <w:bidi w:val="0"/>
              <w:spacing w:before="0" w:after="283"/>
              <w:jc w:val="left"/>
              <w:rPr>
                <w:sz w:val="4"/>
                <w:szCs w:val="4"/>
              </w:rPr>
            </w:pPr>
            <w:r>
              <w:rPr>
                <w:sz w:val="4"/>
                <w:szCs w:val="4"/>
              </w:rPr>
            </w:r>
          </w:p>
        </w:tc>
        <w:tc>
          <w:tcPr>
            <w:tcW w:w="96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72"/>
        <w:gridCol w:w="247"/>
        <w:gridCol w:w="212"/>
        <w:gridCol w:w="479"/>
        <w:gridCol w:w="482"/>
        <w:gridCol w:w="267"/>
        <w:gridCol w:w="246"/>
        <w:gridCol w:w="178"/>
        <w:gridCol w:w="263"/>
        <w:gridCol w:w="365"/>
        <w:gridCol w:w="290"/>
        <w:gridCol w:w="291"/>
        <w:gridCol w:w="109"/>
        <w:gridCol w:w="109"/>
        <w:gridCol w:w="109"/>
        <w:gridCol w:w="435"/>
        <w:gridCol w:w="436"/>
        <w:gridCol w:w="267"/>
        <w:gridCol w:w="299"/>
        <w:gridCol w:w="127"/>
        <w:gridCol w:w="266"/>
        <w:gridCol w:w="365"/>
        <w:gridCol w:w="290"/>
        <w:gridCol w:w="291"/>
        <w:gridCol w:w="109"/>
        <w:gridCol w:w="109"/>
        <w:gridCol w:w="109"/>
        <w:gridCol w:w="559"/>
        <w:gridCol w:w="402"/>
        <w:gridCol w:w="268"/>
        <w:gridCol w:w="273"/>
        <w:gridCol w:w="150"/>
        <w:gridCol w:w="292"/>
        <w:gridCol w:w="384"/>
        <w:gridCol w:w="268"/>
        <w:gridCol w:w="387"/>
      </w:tblGrid>
      <w:tr>
        <w:trPr/>
        <w:tc>
          <w:tcPr>
            <w:tcW w:w="4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Expirations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no exercise of lease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16,131,000 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7,953,000 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24,084,000 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all lease options are exercised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14,221,000 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16,131,000 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7,953,000 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24,084,000 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8"/>
        <w:gridCol w:w="183"/>
        <w:gridCol w:w="184"/>
        <w:gridCol w:w="2815"/>
        <w:gridCol w:w="2815"/>
        <w:gridCol w:w="4000"/>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Anchor is defined as a commercial tenant leasing 10,000 square feet or more.</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Rent reflects in-place contractual (defined as rents on a cash-basis without taking the impacts of rent abatements into account) rent as of September 30, 2023.</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occupied square footage of the commercial portion of our portfolio as of September 30, 2023.</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tbl>
      <w:tblPr>
        <w:tblW w:w="7928" w:type="dxa"/>
        <w:jc w:val="left"/>
        <w:tblInd w:w="0" w:type="dxa"/>
        <w:tblLayout w:type="fixed"/>
        <w:tblCellMar>
          <w:top w:w="28" w:type="dxa"/>
          <w:left w:w="28" w:type="dxa"/>
          <w:bottom w:w="28" w:type="dxa"/>
          <w:right w:w="28" w:type="dxa"/>
        </w:tblCellMar>
      </w:tblPr>
      <w:tblGrid>
        <w:gridCol w:w="1038"/>
        <w:gridCol w:w="910"/>
        <w:gridCol w:w="916"/>
        <w:gridCol w:w="369"/>
        <w:gridCol w:w="369"/>
        <w:gridCol w:w="867"/>
        <w:gridCol w:w="109"/>
        <w:gridCol w:w="109"/>
        <w:gridCol w:w="109"/>
        <w:gridCol w:w="264"/>
        <w:gridCol w:w="264"/>
        <w:gridCol w:w="627"/>
        <w:gridCol w:w="109"/>
        <w:gridCol w:w="109"/>
        <w:gridCol w:w="109"/>
        <w:gridCol w:w="345"/>
        <w:gridCol w:w="345"/>
        <w:gridCol w:w="96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Leased Statistics</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Properties</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Leasable Area (GLA)</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25,791,000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anchor tenants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small shop tenants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commercial tenant leases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GLA </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23,545,000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Properties</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tbl>
      <w:tblPr>
        <w:tblW w:w="6780" w:type="dxa"/>
        <w:jc w:val="left"/>
        <w:tblInd w:w="0" w:type="dxa"/>
        <w:tblLayout w:type="fixed"/>
        <w:tblCellMar>
          <w:top w:w="28" w:type="dxa"/>
          <w:left w:w="28" w:type="dxa"/>
          <w:bottom w:w="28" w:type="dxa"/>
          <w:right w:w="28" w:type="dxa"/>
        </w:tblCellMar>
      </w:tblPr>
      <w:tblGrid>
        <w:gridCol w:w="212"/>
        <w:gridCol w:w="186"/>
        <w:gridCol w:w="187"/>
        <w:gridCol w:w="1813"/>
        <w:gridCol w:w="1813"/>
        <w:gridCol w:w="2569"/>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and residential units not yet placed in service.</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
        <w:gridCol w:w="162"/>
        <w:gridCol w:w="164"/>
        <w:gridCol w:w="109"/>
        <w:gridCol w:w="109"/>
        <w:gridCol w:w="109"/>
        <w:gridCol w:w="690"/>
        <w:gridCol w:w="585"/>
        <w:gridCol w:w="485"/>
        <w:gridCol w:w="310"/>
        <w:gridCol w:w="310"/>
        <w:gridCol w:w="312"/>
        <w:gridCol w:w="206"/>
        <w:gridCol w:w="1106"/>
        <w:gridCol w:w="114"/>
        <w:gridCol w:w="443"/>
        <w:gridCol w:w="337"/>
        <w:gridCol w:w="797"/>
        <w:gridCol w:w="479"/>
        <w:gridCol w:w="482"/>
        <w:gridCol w:w="236"/>
        <w:gridCol w:w="381"/>
        <w:gridCol w:w="275"/>
        <w:gridCol w:w="651"/>
        <w:gridCol w:w="338"/>
        <w:gridCol w:w="338"/>
        <w:gridCol w:w="492"/>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Top 25 Tenants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Tenant Name</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Credit Ratings </w:t>
              <w:br/>
              <w:t>(S&amp;P/Moody's) (1)</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Annualized Base Rent</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Annualized Base Rent (3)</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Tenant GLA</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GLA (3)</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Number of Locations Leased</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TJX Companies, The</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23,415,000 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Ahold Delhaize</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NetApp, Inc.</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14,769,000 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Splunk, Inc.</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12,271,000 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 Corporation</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0.99 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Gap, Inc., The</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Ba3</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 Fitness International LLC</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B3</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Albertsons Companies Inc. (Acme, Balducci's, Safeway)</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Ba2</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8,588,000 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0.99 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Ross Stores, Inc.</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A2</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7,554,000 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Depot, Inc.</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Kroger Co., The</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Entertainment Inc.</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CCC+ / Caa2</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7,106,000 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PUMA North America, Inc.</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 of America, N.A.</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A1</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6,678,000 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Dick's Sporting Goods, Inc.</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Baa3</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6,389,000 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Target Corporation</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Ulta Beauty, Inc.</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5,905,000 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Michaels Stores, Inc.</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B3</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5,774,000 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Choice Hotels International, Inc.</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Baa3</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5,588,000 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Wells Fargo Bank, N.A.</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A1</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Hudson's Bay Company (Saks)</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 Foods Market, Inc.</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 / A1</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5,016,000 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Starbucks Corporation</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JPMorgan Chase Bank</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A1</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4,948,000 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Burlington Stores, Inc.</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NR</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0.97 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 Top 25 Tenants</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210,305,000 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24.32 </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8,335,000 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(5):</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864,752,000 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28,980,000 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Ratings are as of September 30, 2023. Subsequent rating changes have not been reflected.</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not yet placed in service.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reflect both the commercial and residential portions of our properties.</w:t>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7607" w:type="dxa"/>
            <w:gridSpan w:val="18"/>
            <w:tcBorders/>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7607"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FFO Guidance</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range of estimated earnings per diluted share to estimated FFO per diluted share for the full year 2023. Estimates do not include the impact from potential acquisitions or dispositions which have not closed as of October 20, 2023.</w:t>
      </w:r>
    </w:p>
    <w:p>
      <w:pPr>
        <w:pStyle w:val="TextBody"/>
        <w:bidi w:val="0"/>
        <w:spacing w:before="0" w:after="0"/>
        <w:jc w:val="left"/>
        <w:rPr/>
      </w:pPr>
      <w:r>
        <w:rPr/>
      </w:r>
    </w:p>
    <w:p>
      <w:pPr>
        <w:pStyle w:val="TextBody"/>
        <w:bidi w:val="0"/>
        <w:spacing w:before="0" w:after="0"/>
        <w:jc w:val="left"/>
        <w:rPr/>
      </w:pPr>
      <w:r>
        <w:rPr/>
      </w:r>
    </w:p>
    <w:tbl>
      <w:tblPr>
        <w:tblW w:w="8996" w:type="dxa"/>
        <w:jc w:val="left"/>
        <w:tblInd w:w="0" w:type="dxa"/>
        <w:tblLayout w:type="fixed"/>
        <w:tblCellMar>
          <w:top w:w="28" w:type="dxa"/>
          <w:left w:w="28" w:type="dxa"/>
          <w:bottom w:w="28" w:type="dxa"/>
          <w:right w:w="28" w:type="dxa"/>
        </w:tblCellMar>
      </w:tblPr>
      <w:tblGrid>
        <w:gridCol w:w="2224"/>
        <w:gridCol w:w="1950"/>
        <w:gridCol w:w="1960"/>
        <w:gridCol w:w="297"/>
        <w:gridCol w:w="720"/>
        <w:gridCol w:w="153"/>
        <w:gridCol w:w="153"/>
        <w:gridCol w:w="153"/>
        <w:gridCol w:w="153"/>
        <w:gridCol w:w="297"/>
        <w:gridCol w:w="720"/>
        <w:gridCol w:w="216"/>
      </w:tblGrid>
      <w:tr>
        <w:trPr/>
        <w:tc>
          <w:tcPr>
            <w:tcW w:w="2224"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 2023 Guidance Range</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net income available to common shareholders, per diluted share</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gain on sale of real estate,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depreciation and amortization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FFO per diluted share</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Glossary of Terms. Individual items may not add up to total due to rounding.</w:t>
      </w:r>
    </w:p>
    <w:p>
      <w:pPr>
        <w:pStyle w:val="TextBody"/>
        <w:bidi w:val="0"/>
        <w:spacing w:before="0" w:after="0"/>
        <w:jc w:val="left"/>
        <w:rPr/>
      </w:pPr>
      <w:r>
        <w:rPr/>
      </w:r>
    </w:p>
    <w:p>
      <w:pPr>
        <w:pStyle w:val="TextBody"/>
        <w:bidi w:val="0"/>
        <w:spacing w:before="0" w:after="0"/>
        <w:jc w:val="left"/>
        <w:rPr/>
      </w:pPr>
      <w:r>
        <w:rPr/>
      </w:r>
    </w:p>
    <w:tbl>
      <w:tblPr>
        <w:tblW w:w="8504" w:type="dxa"/>
        <w:jc w:val="left"/>
        <w:tblInd w:w="0" w:type="dxa"/>
        <w:tblLayout w:type="fixed"/>
        <w:tblCellMar>
          <w:top w:w="28" w:type="dxa"/>
          <w:left w:w="28" w:type="dxa"/>
          <w:bottom w:w="28" w:type="dxa"/>
          <w:right w:w="28" w:type="dxa"/>
        </w:tblCellMar>
      </w:tblPr>
      <w:tblGrid>
        <w:gridCol w:w="2175"/>
        <w:gridCol w:w="1908"/>
        <w:gridCol w:w="1917"/>
        <w:gridCol w:w="733"/>
        <w:gridCol w:w="733"/>
        <w:gridCol w:w="1038"/>
      </w:tblGrid>
      <w:tr>
        <w:trPr/>
        <w:tc>
          <w:tcPr>
            <w:tcW w:w="217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Guidance Assumptions (1):</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2.75% - 3.75%</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 excluding prior period rents and term fees</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3.75% - 4.75%</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redevelopment/expansion POI (2)</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$16 - $19 million</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$51 - $53 million (annual)</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Dispositions POI</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million</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Development/redevelopment capital</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$175 - $200 million (annual)</w:t>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 $22 million (annual)</w:t>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(1)Does not assume any material changes of tenants moving to or from a cash basis of accounting.</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(2)Includes the expected additional POI to be recognized in 2023 compared to the amount recognized in 2022 from all of the redevelopments listed on pages 16 and 17 of our supplemental information document filed on Form 8-K on February 8, 2023. Does not include any additional POI from "Active Property Improvement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lineRule="auto" w:line="288" w:before="0" w:after="0"/>
        <w:jc w:val="left"/>
        <w:rPr/>
      </w:pPr>
      <w:r>
        <w:rPr>
          <w:rFonts w:ascii="Times New Roman;sans-serif" w:hAnsi="Times New Roman;sans-serif"/>
          <w:b/>
          <w:color w:val="000000"/>
          <w:sz w:val="18"/>
        </w:rPr>
        <w:t>EBITDA for Real Estate ("EBITDAre"):</w:t>
      </w:r>
      <w:r>
        <w:rPr>
          <w:color w:val="000000"/>
        </w:rPr>
        <w:t xml:space="preserve"> </w:t>
      </w:r>
      <w:r>
        <w:rPr>
          <w:rFonts w:ascii="Times New Roman;sans-serif" w:hAnsi="Times New Roman;sans-serif"/>
          <w:b w:val="false"/>
          <w:color w:val="000000"/>
          <w:sz w:val="18"/>
        </w:rPr>
        <w:t>EBITDAre is a non-GAAP measure that the National Association of Real Estate Investment Trusts ("NAREIT") defines as: net 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nine months ended September 30, 2023 and 2022 is as follows:</w:t>
      </w:r>
    </w:p>
    <w:tbl>
      <w:tblPr>
        <w:tblW w:w="9412" w:type="dxa"/>
        <w:jc w:val="center"/>
        <w:tblInd w:w="0" w:type="dxa"/>
        <w:tblLayout w:type="fixed"/>
        <w:tblCellMar>
          <w:top w:w="28" w:type="dxa"/>
          <w:left w:w="28" w:type="dxa"/>
          <w:bottom w:w="28" w:type="dxa"/>
          <w:right w:w="28" w:type="dxa"/>
        </w:tblCellMar>
      </w:tblPr>
      <w:tblGrid>
        <w:gridCol w:w="1447"/>
        <w:gridCol w:w="1276"/>
        <w:gridCol w:w="128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of EBITDAre of unconsolidated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00" w:after="283"/>
        <w:jc w:val="left"/>
        <w:rPr/>
      </w:pPr>
      <w:r>
        <w:rPr>
          <w:rFonts w:ascii="Times New Roman;sans-serif" w:hAnsi="Times New Roman;sans-serif"/>
          <w:b/>
          <w:color w:val="000000"/>
          <w:sz w:val="18"/>
        </w:rPr>
        <w:t>Funds From Operations (FFO):</w:t>
      </w:r>
      <w:r>
        <w:rPr>
          <w:color w:val="000000"/>
        </w:rPr>
        <w:t xml:space="preserve"> </w:t>
      </w:r>
      <w:r>
        <w:rPr>
          <w:rFonts w:ascii="Times New Roman;sans-serif" w:hAnsi="Times New Roman;sans-serif"/>
          <w:b w:val="false"/>
          <w:color w:val="000000"/>
          <w:sz w:val="18"/>
        </w:rPr>
        <w:t xml:space="preserve">FFO is a supplemental measure of real estate companies' operating performances. NAREIT defines FFO as 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 </w:t>
      </w:r>
    </w:p>
    <w:p>
      <w:pPr>
        <w:pStyle w:val="TextBody"/>
        <w:bidi w:val="0"/>
        <w:spacing w:lineRule="auto" w:line="288" w:before="140" w:after="283"/>
        <w:jc w:val="left"/>
        <w:rPr/>
      </w:pPr>
      <w:r>
        <w:rPr>
          <w:rFonts w:ascii="Times New Roman;sans-serif" w:hAnsi="Times New Roman;sans-serif"/>
          <w:b/>
          <w:color w:val="000000"/>
          <w:sz w:val="18"/>
        </w:rPr>
        <w:t xml:space="preserve">Property Operating Income: </w:t>
      </w:r>
      <w:r>
        <w:rPr>
          <w:rFonts w:ascii="Times New Roman;sans-serif" w:hAnsi="Times New Roman;sans-serif"/>
          <w:b w:val="false"/>
          <w:color w:val="000000"/>
          <w:sz w:val="18"/>
        </w:rPr>
        <w:t>Rental income and mortgage interest income, less rental expenses and real estate taxes.</w:t>
      </w:r>
    </w:p>
    <w:p>
      <w:pPr>
        <w:pStyle w:val="TextBody"/>
        <w:bidi w:val="0"/>
        <w:spacing w:lineRule="auto" w:line="288" w:before="140" w:after="283"/>
        <w:jc w:val="left"/>
        <w:rPr/>
      </w:pPr>
      <w:r>
        <w:rPr>
          <w:rFonts w:ascii="Times New Roman;sans-serif" w:hAnsi="Times New Roman;sans-serif"/>
          <w:b/>
          <w:color w:val="000000"/>
          <w:sz w:val="18"/>
        </w:rPr>
        <w:t>Overall Portfolio:</w:t>
      </w:r>
      <w:r>
        <w:rPr>
          <w:color w:val="000000"/>
        </w:rPr>
        <w:t xml:space="preserve"> </w:t>
      </w:r>
      <w:r>
        <w:rPr>
          <w:rFonts w:ascii="Times New Roman;sans-serif" w:hAnsi="Times New Roman;sans-serif"/>
          <w:b w:val="false"/>
          <w:color w:val="000000"/>
          <w:sz w:val="18"/>
        </w:rPr>
        <w:t>Includes all operating properties owned in reporting period.</w:t>
      </w:r>
    </w:p>
    <w:p>
      <w:pPr>
        <w:pStyle w:val="TextBody"/>
        <w:bidi w:val="0"/>
        <w:spacing w:lineRule="auto" w:line="288" w:before="140" w:after="283"/>
        <w:jc w:val="left"/>
        <w:rPr/>
      </w:pPr>
      <w:r>
        <w:rPr>
          <w:rFonts w:ascii="Times New Roman;sans-serif" w:hAnsi="Times New Roman;sans-serif"/>
          <w:b/>
          <w:color w:val="000000"/>
          <w:sz w:val="18"/>
        </w:rPr>
        <w:t xml:space="preserve">Comparable Properties: </w:t>
      </w:r>
      <w:r>
        <w:rPr>
          <w:rFonts w:ascii="Times New Roman;sans-serif" w:hAnsi="Times New Roman;sans-serif"/>
          <w:b w:val="false"/>
          <w:color w:val="000000"/>
          <w:sz w:val="18"/>
        </w:rPr>
        <w:t xml:space="preserve">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Comparable property growth statistics are calculated on a GAAP basis. </w:t>
      </w:r>
    </w:p>
    <w:p>
      <w:pPr>
        <w:pStyle w:val="TextBody"/>
        <w:bidi w:val="0"/>
        <w:spacing w:lineRule="auto" w:line="288" w:before="140" w:after="283"/>
        <w:jc w:val="left"/>
        <w:rPr/>
      </w:pPr>
      <w:r>
        <w:rPr>
          <w:rFonts w:ascii="Times New Roman;sans-serif" w:hAnsi="Times New Roman;sans-serif"/>
          <w:b/>
          <w:color w:val="000000"/>
          <w:sz w:val="18"/>
        </w:rPr>
        <w:t xml:space="preserve">Annualized Base Rent (ABR): </w:t>
      </w:r>
      <w:r>
        <w:rPr>
          <w:rFonts w:ascii="Times New Roman;sans-serif" w:hAnsi="Times New Roman;sans-serif"/>
          <w:b w:val="false"/>
          <w:color w:val="000000"/>
          <w:sz w:val="18"/>
        </w:rPr>
        <w:t xml:space="preserve">Represents aggregate, annualized in-place contractual (defined as rents billed on a cash basis without taking the impact of rent abatements into account) minimum rent for all occupied spaces as of the reporting period. </w:t>
      </w:r>
    </w:p>
    <w:p>
      <w:pPr>
        <w:pStyle w:val="TextBody"/>
        <w:bidi w:val="0"/>
        <w:spacing w:lineRule="auto" w:line="288" w:before="140" w:after="283"/>
        <w:jc w:val="left"/>
        <w:rPr/>
      </w:pPr>
      <w:r>
        <w:rPr>
          <w:rFonts w:ascii="Times New Roman;sans-serif" w:hAnsi="Times New Roman;sans-serif"/>
          <w:b/>
          <w:color w:val="000000"/>
          <w:sz w:val="18"/>
        </w:rPr>
        <w:t xml:space="preserve">Retail Leasing Summary - Lease Rollover Calculation: </w:t>
      </w:r>
      <w:r>
        <w:rPr>
          <w:rFonts w:ascii="Times New Roman;sans-serif" w:hAnsi="Times New Roman;sans-serif"/>
          <w:b w:val="false"/>
          <w:color w:val="000000"/>
          <w:sz w:val="18"/>
        </w:rPr>
        <w:t>The rental increases associated with comparable spaces generally include all leases signed for retail space in 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pStyle w:val="TextBody"/>
        <w:bidi w:val="0"/>
        <w:spacing w:lineRule="auto" w:line="288" w:before="140" w:after="283"/>
        <w:jc w:val="left"/>
        <w:rPr/>
      </w:pPr>
      <w:r>
        <w:rPr>
          <w:rFonts w:ascii="Times New Roman;sans-serif" w:hAnsi="Times New Roman;sans-serif"/>
          <w:b/>
          <w:color w:val="000000"/>
          <w:sz w:val="18"/>
        </w:rPr>
        <w:t xml:space="preserve">Tenant Improvements and Incentives: </w:t>
      </w:r>
      <w:r>
        <w:rPr>
          <w:rFonts w:ascii="Times New Roman;sans-serif" w:hAnsi="Times New Roman;sans-serif"/>
          <w:b w:val="false"/>
          <w:color w:val="000000"/>
          <w:sz w:val="18"/>
        </w:rPr>
        <w:t>Represents the total dollars committed for the improvement (fit-out) of a space as it relates to a specific lease. Incentives include amounts paid to tenants as an inducement to sign a lease that do not represent building improvements.</w:t>
      </w:r>
    </w:p>
    <w:p>
      <w:pPr>
        <w:pStyle w:val="TextBody"/>
        <w:bidi w:val="0"/>
        <w:spacing w:lineRule="auto" w:line="288" w:before="140" w:after="283"/>
        <w:jc w:val="left"/>
        <w:rPr/>
      </w:pPr>
      <w:r>
        <w:rPr>
          <w:rFonts w:ascii="Times New Roman;sans-serif" w:hAnsi="Times New Roman;sans-serif"/>
          <w:b/>
          <w:color w:val="000000"/>
          <w:sz w:val="18"/>
        </w:rPr>
        <w:t>General:</w:t>
      </w:r>
      <w:r>
        <w:rPr>
          <w:color w:val="000000"/>
        </w:rPr>
        <w:t xml:space="preserve"> </w:t>
      </w:r>
      <w:r>
        <w:rPr>
          <w:rFonts w:ascii="Times New Roman;sans-serif" w:hAnsi="Times New Roman;sans-serif"/>
          <w:b w:val="false"/>
          <w:color w:val="000000"/>
          <w:sz w:val="18"/>
        </w:rPr>
        <w:t xml:space="preserve">Property related statistics are the for the consolidated property portfolio except where noted. </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13106</Words>
  <Characters>70722</Characters>
  <CharactersWithSpaces>81489</CharactersWithSpaces>
  <Paragraphs>4106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